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60AE8" w14:textId="3D6D1378" w:rsidR="00F8236B" w:rsidRPr="002C272D" w:rsidRDefault="00F8236B" w:rsidP="000D53A7">
      <w:pPr>
        <w:pStyle w:val="Title"/>
        <w:pBdr>
          <w:bottom w:val="single" w:sz="4" w:space="1" w:color="auto"/>
        </w:pBdr>
        <w:jc w:val="center"/>
        <w:rPr>
          <w:sz w:val="32"/>
          <w:szCs w:val="32"/>
        </w:rPr>
      </w:pPr>
      <w:r w:rsidRPr="002C272D">
        <w:rPr>
          <w:sz w:val="32"/>
          <w:szCs w:val="32"/>
        </w:rPr>
        <w:t xml:space="preserve">Action plan for the analysis of ITU-T Study group restructuring (Draft </w:t>
      </w:r>
      <w:r>
        <w:rPr>
          <w:sz w:val="32"/>
          <w:szCs w:val="32"/>
        </w:rPr>
        <w:t>F</w:t>
      </w:r>
      <w:r w:rsidRPr="002C272D">
        <w:rPr>
          <w:sz w:val="32"/>
          <w:szCs w:val="32"/>
        </w:rPr>
        <w:t>)</w:t>
      </w:r>
    </w:p>
    <w:p w14:paraId="3BD1371D" w14:textId="40038038" w:rsidR="00F8236B" w:rsidRPr="002C272D" w:rsidRDefault="00F8236B" w:rsidP="00BE0454">
      <w:pPr>
        <w:rPr>
          <w:lang w:val="en-US" w:eastAsia="zh-CN"/>
        </w:rPr>
      </w:pPr>
      <w:r>
        <w:rPr>
          <w:rFonts w:cstheme="minorHAnsi"/>
          <w:szCs w:val="24"/>
        </w:rPr>
        <w:t>[</w:t>
      </w:r>
      <w:bookmarkStart w:id="0" w:name="_Hlk80694640"/>
      <w:r w:rsidRPr="002C272D">
        <w:t>.</w:t>
      </w:r>
      <w:r>
        <w:t>)</w:t>
      </w:r>
    </w:p>
    <w:bookmarkEnd w:id="0"/>
    <w:p w14:paraId="643C36F7" w14:textId="77777777" w:rsidR="00F8236B" w:rsidRPr="002C272D" w:rsidRDefault="00F8236B" w:rsidP="003D7BA3">
      <w:pPr>
        <w:pStyle w:val="Heading1"/>
        <w:numPr>
          <w:ilvl w:val="0"/>
          <w:numId w:val="27"/>
        </w:numPr>
        <w:spacing w:line="240" w:lineRule="auto"/>
        <w:ind w:left="284" w:hanging="284"/>
        <w:rPr>
          <w:rFonts w:cstheme="minorHAnsi"/>
          <w:szCs w:val="24"/>
        </w:rPr>
      </w:pPr>
      <w:r w:rsidRPr="002C272D">
        <w:rPr>
          <w:rFonts w:asciiTheme="minorHAnsi" w:hAnsiTheme="minorHAnsi" w:cstheme="minorHAnsi"/>
          <w:sz w:val="24"/>
          <w:szCs w:val="24"/>
        </w:rPr>
        <w:t>Introduction</w:t>
      </w:r>
    </w:p>
    <w:p w14:paraId="5468FF41" w14:textId="615ABB2F"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cstheme="minorHAnsi"/>
          <w:szCs w:val="24"/>
        </w:rPr>
        <w:t xml:space="preserve">The text in this action plan is based on contributions received from Members provided through a correspondence group </w:t>
      </w:r>
      <w:r w:rsidRPr="00BE0454">
        <w:rPr>
          <w:rFonts w:cstheme="minorHAnsi"/>
          <w:szCs w:val="24"/>
          <w:highlight w:val="yellow"/>
        </w:rPr>
        <w:t>(CG)</w:t>
      </w:r>
      <w:r>
        <w:rPr>
          <w:rFonts w:cstheme="minorHAnsi"/>
          <w:szCs w:val="24"/>
        </w:rPr>
        <w:t xml:space="preserve"> </w:t>
      </w:r>
      <w:r w:rsidRPr="002C272D">
        <w:rPr>
          <w:rFonts w:cstheme="minorHAnsi"/>
          <w:szCs w:val="24"/>
        </w:rPr>
        <w:t>activity under the auspices of the Rapporteur Group on work Programme (RG_WP).</w:t>
      </w:r>
      <w:r>
        <w:rPr>
          <w:rFonts w:cstheme="minorHAnsi"/>
          <w:szCs w:val="24"/>
        </w:rPr>
        <w:t xml:space="preserve"> </w:t>
      </w:r>
      <w:r w:rsidRPr="00346C0C">
        <w:rPr>
          <w:rFonts w:cstheme="minorHAnsi"/>
          <w:szCs w:val="24"/>
          <w:highlight w:val="yellow"/>
        </w:rPr>
        <w:t>The activity of the CG is based on the mandate that was agreed at the TSAG meeting (January 2021) for the establishment of a correspondence group.</w:t>
      </w:r>
      <w:r>
        <w:rPr>
          <w:rFonts w:cstheme="minorHAnsi"/>
          <w:szCs w:val="24"/>
        </w:rPr>
        <w:t xml:space="preserve">  </w:t>
      </w:r>
      <w:r w:rsidRPr="002C272D">
        <w:rPr>
          <w:rFonts w:asciiTheme="minorHAnsi" w:hAnsiTheme="minorHAnsi" w:cstheme="minorHAnsi"/>
          <w:sz w:val="24"/>
          <w:szCs w:val="24"/>
        </w:rPr>
        <w:t>Background</w:t>
      </w:r>
    </w:p>
    <w:p w14:paraId="5B153881" w14:textId="77777777" w:rsidR="00F8236B" w:rsidRDefault="00F8236B" w:rsidP="00D21F62">
      <w:pPr>
        <w:spacing w:line="240" w:lineRule="auto"/>
        <w:rPr>
          <w:rFonts w:cstheme="minorHAnsi"/>
          <w:szCs w:val="24"/>
        </w:rPr>
      </w:pPr>
      <w:r w:rsidRPr="002C272D">
        <w:rPr>
          <w:rFonts w:cstheme="minorHAnsi"/>
          <w:szCs w:val="24"/>
        </w:rPr>
        <w:t xml:space="preserve">The efforts of the proposal “Food for thought” from Director TSB on Study Groups’ restructuring for WTSA-20 preparations </w:t>
      </w:r>
      <w:r w:rsidRPr="009274B7">
        <w:rPr>
          <w:rFonts w:cstheme="minorHAnsi"/>
          <w:szCs w:val="24"/>
          <w:highlight w:val="yellow"/>
        </w:rPr>
        <w:t>provided the impetus for discussion amongst TSAG members for the future re-structuring of the ITU-T study groups (SGs).  The intention of the proposal from the Director TSB was to assist the development of the work of the sector by</w:t>
      </w:r>
      <w:r>
        <w:rPr>
          <w:rFonts w:cstheme="minorHAnsi"/>
          <w:szCs w:val="24"/>
        </w:rPr>
        <w:t xml:space="preserve"> </w:t>
      </w:r>
    </w:p>
    <w:p w14:paraId="5825892C" w14:textId="598D0726" w:rsidR="00F8236B" w:rsidRDefault="00F8236B" w:rsidP="003D7BA3">
      <w:pPr>
        <w:spacing w:line="240" w:lineRule="auto"/>
        <w:rPr>
          <w:rFonts w:cstheme="minorHAnsi"/>
          <w:szCs w:val="24"/>
        </w:rPr>
      </w:pPr>
    </w:p>
    <w:p w14:paraId="330C54CC" w14:textId="73468026" w:rsidR="00F8236B" w:rsidRPr="00BE0454" w:rsidRDefault="00F8236B" w:rsidP="00D21F62">
      <w:pPr>
        <w:pStyle w:val="ListParagraph"/>
        <w:numPr>
          <w:ilvl w:val="0"/>
          <w:numId w:val="37"/>
        </w:numPr>
        <w:rPr>
          <w:rFonts w:cstheme="minorHAnsi"/>
          <w:szCs w:val="24"/>
          <w:highlight w:val="yellow"/>
        </w:rPr>
      </w:pPr>
      <w:r w:rsidRPr="00BE0454">
        <w:rPr>
          <w:rFonts w:cstheme="minorHAnsi"/>
          <w:szCs w:val="24"/>
        </w:rPr>
        <w:t xml:space="preserve">ensuring the compliance of technology evolution and the business continuity of the sector’s work in all circumstances </w:t>
      </w:r>
      <w:r w:rsidRPr="00BE0454">
        <w:rPr>
          <w:rFonts w:cstheme="minorHAnsi"/>
          <w:szCs w:val="24"/>
          <w:highlight w:val="yellow"/>
        </w:rPr>
        <w:t>[as well as</w:t>
      </w:r>
      <w:r w:rsidRPr="00BE0454">
        <w:rPr>
          <w:rFonts w:cstheme="minorHAnsi"/>
          <w:szCs w:val="24"/>
        </w:rPr>
        <w:t xml:space="preserve"> </w:t>
      </w:r>
      <w:r w:rsidRPr="00BE0454">
        <w:rPr>
          <w:rFonts w:cstheme="minorHAnsi"/>
          <w:szCs w:val="24"/>
          <w:highlight w:val="yellow"/>
        </w:rPr>
        <w:t>on which most members of the sector depend on them.</w:t>
      </w:r>
    </w:p>
    <w:p w14:paraId="7B1DDA97" w14:textId="77777777" w:rsidR="00F8236B" w:rsidRPr="00BE0454" w:rsidRDefault="00F8236B" w:rsidP="00BE0454">
      <w:pPr>
        <w:pStyle w:val="ListParagraph"/>
        <w:numPr>
          <w:ilvl w:val="0"/>
          <w:numId w:val="37"/>
        </w:numPr>
        <w:rPr>
          <w:rFonts w:cstheme="minorHAnsi"/>
          <w:szCs w:val="24"/>
          <w:highlight w:val="yellow"/>
        </w:rPr>
      </w:pPr>
      <w:r w:rsidRPr="009274B7">
        <w:rPr>
          <w:rFonts w:cstheme="minorHAnsi"/>
          <w:sz w:val="24"/>
          <w:szCs w:val="24"/>
          <w:highlight w:val="yellow"/>
        </w:rPr>
        <w:t>accelerating the</w:t>
      </w:r>
      <w:r w:rsidRPr="00BE0454">
        <w:rPr>
          <w:rFonts w:cstheme="minorHAnsi"/>
          <w:sz w:val="24"/>
          <w:szCs w:val="24"/>
          <w:highlight w:val="yellow"/>
        </w:rPr>
        <w:t>]</w:t>
      </w:r>
      <w:r w:rsidRPr="009274B7">
        <w:rPr>
          <w:rFonts w:cstheme="minorHAnsi"/>
          <w:sz w:val="24"/>
          <w:szCs w:val="24"/>
          <w:highlight w:val="yellow"/>
        </w:rPr>
        <w:t xml:space="preserve"> work </w:t>
      </w:r>
      <w:proofErr w:type="gramStart"/>
      <w:r w:rsidRPr="009274B7">
        <w:rPr>
          <w:rFonts w:cstheme="minorHAnsi"/>
          <w:sz w:val="24"/>
          <w:szCs w:val="24"/>
          <w:highlight w:val="yellow"/>
        </w:rPr>
        <w:t>in order to</w:t>
      </w:r>
      <w:proofErr w:type="gramEnd"/>
      <w:r w:rsidRPr="009274B7">
        <w:rPr>
          <w:rFonts w:cstheme="minorHAnsi"/>
          <w:sz w:val="24"/>
          <w:szCs w:val="24"/>
          <w:highlight w:val="yellow"/>
        </w:rPr>
        <w:t xml:space="preserve"> come up with the best recommendations and desired standards in the sector</w:t>
      </w:r>
    </w:p>
    <w:p w14:paraId="4357D3CF" w14:textId="1BEA9A6B" w:rsidR="00F8236B" w:rsidRPr="002C272D" w:rsidRDefault="00F8236B" w:rsidP="003D7BA3">
      <w:pPr>
        <w:spacing w:line="240" w:lineRule="auto"/>
        <w:rPr>
          <w:rFonts w:cstheme="minorHAnsi"/>
          <w:szCs w:val="24"/>
        </w:rPr>
      </w:pPr>
      <w:r w:rsidRPr="002C272D">
        <w:rPr>
          <w:rFonts w:cstheme="minorHAnsi"/>
          <w:szCs w:val="24"/>
        </w:rPr>
        <w:t xml:space="preserve">The importance of developing the </w:t>
      </w:r>
      <w:r w:rsidRPr="00BE0454">
        <w:rPr>
          <w:rFonts w:cstheme="minorHAnsi"/>
          <w:szCs w:val="24"/>
          <w:highlight w:val="yellow"/>
        </w:rPr>
        <w:t>structure</w:t>
      </w:r>
      <w:r w:rsidRPr="002C272D">
        <w:rPr>
          <w:rFonts w:cstheme="minorHAnsi"/>
          <w:szCs w:val="24"/>
        </w:rPr>
        <w:t xml:space="preserve"> of ITU-</w:t>
      </w:r>
      <w:proofErr w:type="gramStart"/>
      <w:r w:rsidRPr="002C272D">
        <w:rPr>
          <w:rFonts w:cstheme="minorHAnsi"/>
          <w:szCs w:val="24"/>
        </w:rPr>
        <w:t>T  study</w:t>
      </w:r>
      <w:proofErr w:type="gramEnd"/>
      <w:r w:rsidRPr="002C272D">
        <w:rPr>
          <w:rFonts w:cstheme="minorHAnsi"/>
          <w:szCs w:val="24"/>
        </w:rPr>
        <w:t xml:space="preserve"> </w:t>
      </w:r>
      <w:r w:rsidRPr="00BE0454">
        <w:rPr>
          <w:rFonts w:cstheme="minorHAnsi"/>
          <w:szCs w:val="24"/>
          <w:highlight w:val="yellow"/>
        </w:rPr>
        <w:t>groups because it has not</w:t>
      </w:r>
      <w:r w:rsidRPr="002C272D">
        <w:rPr>
          <w:rFonts w:cstheme="minorHAnsi"/>
          <w:szCs w:val="24"/>
        </w:rPr>
        <w:t xml:space="preserve"> changed since 2008</w:t>
      </w:r>
      <w:r>
        <w:rPr>
          <w:rFonts w:cstheme="minorHAnsi"/>
          <w:szCs w:val="24"/>
        </w:rPr>
        <w:t xml:space="preserve"> </w:t>
      </w:r>
      <w:r w:rsidRPr="00BE0454">
        <w:rPr>
          <w:rFonts w:cstheme="minorHAnsi"/>
          <w:szCs w:val="24"/>
          <w:highlight w:val="yellow"/>
        </w:rPr>
        <w:t>yet technology has advanced</w:t>
      </w:r>
      <w:r w:rsidRPr="002C272D">
        <w:rPr>
          <w:rFonts w:cstheme="minorHAnsi"/>
          <w:szCs w:val="24"/>
        </w:rPr>
        <w:t xml:space="preserve">. [Any] change must be in a way that guarantees the permanence and continuity of the work of the study groups and regional groups. </w:t>
      </w:r>
    </w:p>
    <w:p w14:paraId="1E8F596E" w14:textId="06BA9F5F" w:rsidR="00F8236B" w:rsidRDefault="00F8236B" w:rsidP="003D7BA3">
      <w:pPr>
        <w:spacing w:line="240" w:lineRule="auto"/>
        <w:jc w:val="both"/>
        <w:rPr>
          <w:rFonts w:eastAsia="Calibri" w:cstheme="minorHAnsi"/>
          <w:szCs w:val="24"/>
        </w:rPr>
      </w:pPr>
      <w:r w:rsidRPr="009274B7">
        <w:rPr>
          <w:rFonts w:eastAsia="Times New Roman" w:cstheme="minorHAnsi"/>
          <w:szCs w:val="24"/>
        </w:rPr>
        <w:t xml:space="preserve"> </w:t>
      </w:r>
      <w:r w:rsidRPr="00BE0454">
        <w:rPr>
          <w:rFonts w:eastAsia="Times New Roman" w:cstheme="minorHAnsi"/>
          <w:sz w:val="20"/>
          <w:szCs w:val="24"/>
          <w:highlight w:val="green"/>
        </w:rPr>
        <w:t xml:space="preserve">(Editor’s note source from UK explanation document - </w:t>
      </w:r>
      <w:r w:rsidRPr="00BE0454">
        <w:rPr>
          <w:sz w:val="20"/>
          <w:szCs w:val="24"/>
          <w:highlight w:val="green"/>
        </w:rPr>
        <w:t xml:space="preserve">This is an activity outside of the scope of the action plan (i.e. working methods) and should be discussed </w:t>
      </w:r>
      <w:proofErr w:type="gramStart"/>
      <w:r w:rsidRPr="00BE0454">
        <w:rPr>
          <w:sz w:val="20"/>
          <w:szCs w:val="24"/>
          <w:highlight w:val="green"/>
        </w:rPr>
        <w:t>elsewhere.</w:t>
      </w:r>
      <w:r w:rsidRPr="002C272D">
        <w:rPr>
          <w:rFonts w:cstheme="minorHAnsi"/>
          <w:szCs w:val="24"/>
        </w:rPr>
        <w:t>Such</w:t>
      </w:r>
      <w:proofErr w:type="gramEnd"/>
      <w:r w:rsidRPr="002C272D">
        <w:rPr>
          <w:rFonts w:cstheme="minorHAnsi"/>
          <w:szCs w:val="24"/>
        </w:rPr>
        <w:t xml:space="preserve"> </w:t>
      </w:r>
      <w:r w:rsidRPr="00BE0454">
        <w:rPr>
          <w:rFonts w:cstheme="minorHAnsi"/>
          <w:szCs w:val="24"/>
          <w:highlight w:val="yellow"/>
        </w:rPr>
        <w:t xml:space="preserve">a study that </w:t>
      </w:r>
      <w:r w:rsidRPr="002C272D">
        <w:rPr>
          <w:rFonts w:cstheme="minorHAnsi"/>
          <w:szCs w:val="24"/>
        </w:rPr>
        <w:t xml:space="preserve">calls for an examination of the ITU-T’s standardization functions to ensure that the standardization needs of the membership are met </w:t>
      </w:r>
      <w:r w:rsidRPr="00BE0454">
        <w:rPr>
          <w:rFonts w:cstheme="minorHAnsi"/>
          <w:szCs w:val="24"/>
          <w:highlight w:val="yellow"/>
        </w:rPr>
        <w:t>needs to be supported by</w:t>
      </w:r>
      <w:r w:rsidRPr="00BE0454">
        <w:rPr>
          <w:rFonts w:eastAsia="Calibri" w:cstheme="minorHAnsi"/>
          <w:szCs w:val="24"/>
          <w:highlight w:val="yellow"/>
        </w:rPr>
        <w:t xml:space="preserve"> </w:t>
      </w:r>
      <w:r w:rsidRPr="002C272D">
        <w:rPr>
          <w:rFonts w:eastAsia="Calibri" w:cstheme="minorHAnsi"/>
          <w:szCs w:val="24"/>
        </w:rPr>
        <w:t xml:space="preserve">the ITU-T structure </w:t>
      </w:r>
      <w:r w:rsidRPr="00BE0454">
        <w:rPr>
          <w:rFonts w:eastAsia="Calibri" w:cstheme="minorHAnsi"/>
          <w:szCs w:val="24"/>
        </w:rPr>
        <w:t xml:space="preserve"> </w:t>
      </w:r>
    </w:p>
    <w:p w14:paraId="7C669ECF" w14:textId="24A4627B" w:rsidR="00F8236B" w:rsidRDefault="00F8236B" w:rsidP="00737CE2">
      <w:pPr>
        <w:spacing w:line="240" w:lineRule="auto"/>
        <w:rPr>
          <w:rFonts w:cstheme="minorHAnsi"/>
          <w:color w:val="000000"/>
          <w:szCs w:val="24"/>
        </w:rPr>
      </w:pPr>
      <w:r w:rsidRPr="00BE0454">
        <w:rPr>
          <w:rFonts w:eastAsia="Calibri" w:cstheme="minorHAnsi"/>
          <w:szCs w:val="24"/>
          <w:highlight w:val="yellow"/>
        </w:rPr>
        <w:t>Consideration of the</w:t>
      </w:r>
      <w:r>
        <w:rPr>
          <w:rFonts w:eastAsia="Calibri" w:cstheme="minorHAnsi"/>
          <w:szCs w:val="24"/>
        </w:rPr>
        <w:t xml:space="preserve"> </w:t>
      </w:r>
      <w:r w:rsidRPr="00BE0454">
        <w:rPr>
          <w:rFonts w:eastAsia="Calibri" w:cstheme="minorHAnsi"/>
          <w:szCs w:val="24"/>
        </w:rPr>
        <w:t>processes provide for the rapid development of high-quality, demand-driven, transparent, consensus-based voluntary standards, giving consideration and accommodation to all views and concerns</w:t>
      </w:r>
      <w:r w:rsidRPr="00BE0454">
        <w:rPr>
          <w:rFonts w:eastAsia="Calibri" w:cstheme="minorHAnsi"/>
          <w:szCs w:val="24"/>
          <w:highlight w:val="yellow"/>
        </w:rPr>
        <w:t>and supporting</w:t>
      </w:r>
      <w:r w:rsidRPr="002C272D">
        <w:rPr>
          <w:rFonts w:eastAsia="Calibri" w:cstheme="minorHAnsi"/>
          <w:szCs w:val="24"/>
        </w:rPr>
        <w:t xml:space="preserve"> that the </w:t>
      </w:r>
      <w:r w:rsidRPr="002C272D">
        <w:rPr>
          <w:rFonts w:eastAsia="Calibri" w:cstheme="minorHAnsi"/>
          <w:color w:val="000000"/>
          <w:szCs w:val="24"/>
        </w:rPr>
        <w:t>ITU-T’s commitments under Resolution 123 (Rev. Dubai, 2018) on Bridging the Standardization Gap are adequately met</w:t>
      </w:r>
      <w:r w:rsidRPr="00BE0454">
        <w:rPr>
          <w:rFonts w:eastAsia="Calibri" w:cstheme="minorHAnsi"/>
          <w:color w:val="000000"/>
          <w:szCs w:val="24"/>
          <w:highlight w:val="yellow"/>
        </w:rPr>
        <w:t>, although important are not considered further in the specification of the action plan</w:t>
      </w:r>
      <w:r w:rsidRPr="002C272D">
        <w:rPr>
          <w:rFonts w:eastAsia="Calibri" w:cstheme="minorHAnsi"/>
          <w:color w:val="000000"/>
          <w:szCs w:val="24"/>
        </w:rPr>
        <w:t>.</w:t>
      </w:r>
      <w:r w:rsidRPr="002C272D">
        <w:rPr>
          <w:rFonts w:cstheme="minorHAnsi"/>
          <w:color w:val="000000"/>
          <w:szCs w:val="24"/>
        </w:rPr>
        <w:t xml:space="preserve"> </w:t>
      </w:r>
    </w:p>
    <w:p w14:paraId="07E760D7" w14:textId="77777777" w:rsidR="00F8236B" w:rsidRPr="002C272D" w:rsidRDefault="00F8236B" w:rsidP="00BE0454">
      <w:pPr>
        <w:spacing w:line="240" w:lineRule="auto"/>
        <w:rPr>
          <w:rFonts w:cstheme="minorHAnsi"/>
          <w:color w:val="000000"/>
          <w:szCs w:val="24"/>
        </w:rPr>
      </w:pPr>
      <w:r w:rsidRPr="007A3EC4">
        <w:t xml:space="preserve">Regarding the interplay between SG restructuring and working methods, France is of the view these are 2 separate </w:t>
      </w:r>
      <w:proofErr w:type="gramStart"/>
      <w:r w:rsidRPr="007A3EC4">
        <w:t>issues, and</w:t>
      </w:r>
      <w:proofErr w:type="gramEnd"/>
      <w:r w:rsidRPr="007A3EC4">
        <w:t xml:space="preserve"> revising ITU-T working methods may not answer the question of the relevance of the SG structure in comparison to technology evolution.</w:t>
      </w:r>
      <w:r>
        <w:t xml:space="preserve"> (Editor’s Note – Source France)</w:t>
      </w:r>
    </w:p>
    <w:p w14:paraId="527AD279" w14:textId="77777777" w:rsidR="00F8236B" w:rsidRPr="002C272D" w:rsidRDefault="00F8236B" w:rsidP="003D7BA3">
      <w:pPr>
        <w:spacing w:line="240" w:lineRule="auto"/>
        <w:jc w:val="both"/>
        <w:rPr>
          <w:rFonts w:eastAsia="Calibri" w:cstheme="minorHAnsi"/>
          <w:iCs/>
          <w:szCs w:val="24"/>
        </w:rPr>
      </w:pPr>
      <w:r w:rsidRPr="00BE0454">
        <w:rPr>
          <w:rFonts w:eastAsia="Times New Roman" w:cstheme="minorHAnsi"/>
          <w:color w:val="000000"/>
          <w:szCs w:val="24"/>
          <w:highlight w:val="yellow"/>
        </w:rPr>
        <w:t>[</w:t>
      </w:r>
      <w:r w:rsidRPr="002C272D">
        <w:rPr>
          <w:rFonts w:eastAsia="Times New Roman" w:cstheme="minorHAnsi"/>
          <w:color w:val="000000"/>
          <w:szCs w:val="24"/>
        </w:rPr>
        <w:t xml:space="preserve">The proposed new Resolution calls for a review process that would consider both quantitative metrics and qualitative policy-oriented questions.  An independent external consultant will be retained to collect and analyse data based on the metrics and questions.  Based on the analysis and findings, the consultant is proposed to prepare a report with recommendations for TSAG and the Council for further consideration.  The Resolution proposed </w:t>
      </w:r>
      <w:r w:rsidRPr="002C272D">
        <w:rPr>
          <w:rFonts w:eastAsia="Calibri" w:cstheme="minorHAnsi"/>
          <w:iCs/>
          <w:szCs w:val="24"/>
        </w:rPr>
        <w:t>TSAG report to WTSA-24 on the activities associated with this Resolution, including a possible restructure of ITU-T study groups.</w:t>
      </w:r>
      <w:r w:rsidRPr="00BE0454">
        <w:rPr>
          <w:rFonts w:eastAsia="Calibri" w:cstheme="minorHAnsi"/>
          <w:iCs/>
          <w:szCs w:val="24"/>
          <w:highlight w:val="yellow"/>
        </w:rPr>
        <w:t>]</w:t>
      </w:r>
    </w:p>
    <w:p w14:paraId="58DB702A" w14:textId="77777777" w:rsidR="00F8236B" w:rsidRPr="007A3EC4" w:rsidRDefault="00F8236B" w:rsidP="001C6796">
      <w:pPr>
        <w:jc w:val="both"/>
      </w:pPr>
      <w:r>
        <w:lastRenderedPageBreak/>
        <w:t>T</w:t>
      </w:r>
      <w:r w:rsidRPr="007A3EC4">
        <w:t xml:space="preserve">he current and future discussions should focus on the concrete way to proceed with the analysis of ITU-T structure with a view to </w:t>
      </w:r>
      <w:r>
        <w:t>approving</w:t>
      </w:r>
      <w:r w:rsidRPr="007A3EC4">
        <w:t xml:space="preserve"> restructuring at WTSA-24</w:t>
      </w:r>
      <w:r>
        <w:t>, rather than discussing general high-level principles</w:t>
      </w:r>
      <w:r w:rsidRPr="007A3EC4">
        <w:t>.</w:t>
      </w:r>
      <w:r>
        <w:t xml:space="preserve"> (Editor’s Note – Source France)</w:t>
      </w:r>
    </w:p>
    <w:p w14:paraId="756ADC49" w14:textId="77777777" w:rsidR="00F8236B" w:rsidRPr="002C272D" w:rsidRDefault="00F8236B">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Information required to analyse the restructuring</w:t>
      </w:r>
    </w:p>
    <w:p w14:paraId="3B180828" w14:textId="4305F76A" w:rsidR="00F8236B" w:rsidRPr="002C272D" w:rsidRDefault="00F8236B" w:rsidP="003D7BA3">
      <w:pPr>
        <w:pStyle w:val="ListParagraph"/>
        <w:autoSpaceDE w:val="0"/>
        <w:autoSpaceDN w:val="0"/>
        <w:adjustRightInd w:val="0"/>
        <w:spacing w:beforeLines="50" w:before="120" w:afterLines="50" w:after="120"/>
        <w:ind w:left="0"/>
        <w:jc w:val="both"/>
        <w:rPr>
          <w:rFonts w:eastAsia="SimSun"/>
          <w:sz w:val="24"/>
          <w:lang w:eastAsia="zh-CN"/>
        </w:rPr>
      </w:pPr>
      <w:r w:rsidRPr="002C272D">
        <w:rPr>
          <w:rFonts w:eastAsia="SimSun"/>
          <w:lang w:eastAsia="zh-CN"/>
        </w:rPr>
        <w:t xml:space="preserve">The ITU-T SG restructuring solution should </w:t>
      </w:r>
      <w:r w:rsidRPr="00BE0454">
        <w:rPr>
          <w:rFonts w:eastAsia="SimSun"/>
          <w:highlight w:val="yellow"/>
          <w:lang w:eastAsia="zh-CN"/>
        </w:rPr>
        <w:t>contribute to</w:t>
      </w:r>
      <w:r w:rsidRPr="002C272D">
        <w:rPr>
          <w:rFonts w:eastAsia="SimSun"/>
          <w:lang w:eastAsia="zh-CN"/>
        </w:rPr>
        <w:t xml:space="preserve"> the mission and </w:t>
      </w:r>
      <w:proofErr w:type="gramStart"/>
      <w:r w:rsidRPr="002C272D">
        <w:rPr>
          <w:rFonts w:eastAsia="SimSun"/>
          <w:lang w:eastAsia="zh-CN"/>
        </w:rPr>
        <w:t xml:space="preserve">long </w:t>
      </w:r>
      <w:r w:rsidRPr="00BE0454">
        <w:rPr>
          <w:rFonts w:eastAsia="SimSun"/>
          <w:highlight w:val="yellow"/>
          <w:lang w:eastAsia="zh-CN"/>
        </w:rPr>
        <w:t>term</w:t>
      </w:r>
      <w:proofErr w:type="gramEnd"/>
      <w:r w:rsidRPr="00BE0454">
        <w:rPr>
          <w:rFonts w:eastAsia="SimSun"/>
          <w:highlight w:val="yellow"/>
          <w:lang w:eastAsia="zh-CN"/>
        </w:rPr>
        <w:t xml:space="preserve"> activities</w:t>
      </w:r>
      <w:r w:rsidRPr="002C272D">
        <w:rPr>
          <w:rFonts w:eastAsia="SimSun"/>
          <w:lang w:eastAsia="zh-CN"/>
        </w:rPr>
        <w:t xml:space="preserve"> of ITU-T.  The </w:t>
      </w:r>
      <w:r w:rsidRPr="00BE0454">
        <w:rPr>
          <w:rFonts w:eastAsia="SimSun"/>
          <w:highlight w:val="yellow"/>
          <w:lang w:eastAsia="zh-CN"/>
        </w:rPr>
        <w:t>restructuring options that are reviewed</w:t>
      </w:r>
      <w:r w:rsidRPr="002C272D">
        <w:rPr>
          <w:rFonts w:eastAsia="SimSun"/>
          <w:lang w:eastAsia="zh-CN"/>
        </w:rPr>
        <w:t xml:space="preserve"> should </w:t>
      </w:r>
      <w:r w:rsidRPr="00BE0454">
        <w:rPr>
          <w:rFonts w:eastAsia="SimSun"/>
          <w:highlight w:val="yellow"/>
          <w:lang w:eastAsia="zh-CN"/>
        </w:rPr>
        <w:t xml:space="preserve">provide input into the discussion </w:t>
      </w:r>
      <w:proofErr w:type="gramStart"/>
      <w:r w:rsidRPr="00BE0454">
        <w:rPr>
          <w:rFonts w:eastAsia="SimSun"/>
          <w:highlight w:val="yellow"/>
          <w:lang w:eastAsia="zh-CN"/>
        </w:rPr>
        <w:t>by</w:t>
      </w:r>
      <w:r>
        <w:rPr>
          <w:rFonts w:eastAsia="SimSun"/>
          <w:lang w:eastAsia="zh-CN"/>
        </w:rPr>
        <w:t xml:space="preserve"> </w:t>
      </w:r>
      <w:r w:rsidRPr="002C272D">
        <w:rPr>
          <w:rFonts w:eastAsia="SimSun"/>
          <w:lang w:eastAsia="zh-CN"/>
        </w:rPr>
        <w:t xml:space="preserve"> the</w:t>
      </w:r>
      <w:proofErr w:type="gramEnd"/>
      <w:r w:rsidRPr="002C272D">
        <w:rPr>
          <w:rFonts w:eastAsia="SimSun"/>
          <w:lang w:eastAsia="zh-CN"/>
        </w:rPr>
        <w:t xml:space="preserve"> ITU-T members’.</w:t>
      </w:r>
    </w:p>
    <w:p w14:paraId="23FDC04C" w14:textId="0A39EEF6" w:rsidR="00F8236B" w:rsidRPr="002C272D" w:rsidRDefault="00F8236B" w:rsidP="00BE0454">
      <w:pPr>
        <w:pStyle w:val="ListParagraph"/>
        <w:autoSpaceDE w:val="0"/>
        <w:autoSpaceDN w:val="0"/>
        <w:adjustRightInd w:val="0"/>
        <w:spacing w:beforeLines="50" w:before="120" w:afterLines="50" w:after="120"/>
        <w:ind w:left="1080"/>
        <w:contextualSpacing/>
        <w:jc w:val="both"/>
        <w:rPr>
          <w:rFonts w:eastAsia="SimSun"/>
          <w:b/>
          <w:lang w:eastAsia="zh-CN"/>
        </w:rPr>
      </w:pPr>
      <w:r w:rsidRPr="002C272D">
        <w:rPr>
          <w:rFonts w:eastAsia="SimSun"/>
          <w:b/>
          <w:lang w:eastAsia="zh-CN"/>
        </w:rPr>
        <w:t xml:space="preserve">The </w:t>
      </w:r>
      <w:r w:rsidRPr="00BE0454">
        <w:rPr>
          <w:rFonts w:eastAsia="SimSun"/>
          <w:bCs/>
          <w:highlight w:val="yellow"/>
          <w:lang w:eastAsia="zh-CN"/>
        </w:rPr>
        <w:t>discussion by</w:t>
      </w:r>
      <w:r w:rsidRPr="00BE0454">
        <w:rPr>
          <w:rFonts w:eastAsia="SimSun"/>
          <w:bCs/>
          <w:lang w:eastAsia="zh-CN"/>
        </w:rPr>
        <w:t xml:space="preserve"> members</w:t>
      </w:r>
      <w:r w:rsidRPr="002C272D">
        <w:rPr>
          <w:rFonts w:eastAsia="SimSun"/>
          <w:b/>
          <w:lang w:eastAsia="zh-CN"/>
        </w:rPr>
        <w:t>.</w:t>
      </w:r>
    </w:p>
    <w:p w14:paraId="58C6EE50" w14:textId="5BDFC763" w:rsidR="00F8236B" w:rsidRPr="002C272D" w:rsidRDefault="00F8236B" w:rsidP="003D7BA3">
      <w:pPr>
        <w:pStyle w:val="ListParagraph"/>
        <w:autoSpaceDE w:val="0"/>
        <w:autoSpaceDN w:val="0"/>
        <w:adjustRightInd w:val="0"/>
        <w:spacing w:beforeLines="50" w:before="120" w:afterLines="50" w:after="120"/>
        <w:ind w:left="1146"/>
        <w:jc w:val="both"/>
        <w:rPr>
          <w:rFonts w:eastAsia="SimSun"/>
          <w:lang w:eastAsia="zh-CN"/>
        </w:rPr>
      </w:pPr>
      <w:r w:rsidRPr="00BE0454">
        <w:rPr>
          <w:rFonts w:eastAsia="SimSun"/>
          <w:highlight w:val="yellow"/>
          <w:lang w:eastAsia="zh-CN"/>
        </w:rPr>
        <w:t>will require output from</w:t>
      </w:r>
      <w:r>
        <w:rPr>
          <w:rFonts w:eastAsia="SimSun"/>
          <w:lang w:eastAsia="zh-CN"/>
        </w:rPr>
        <w:t xml:space="preserve"> </w:t>
      </w:r>
      <w:r w:rsidRPr="002C272D">
        <w:rPr>
          <w:rFonts w:eastAsia="SimSun"/>
          <w:lang w:eastAsia="zh-CN"/>
        </w:rPr>
        <w:t xml:space="preserve">the </w:t>
      </w:r>
      <w:r w:rsidRPr="00BE0454">
        <w:rPr>
          <w:rFonts w:eastAsia="SimSun"/>
          <w:highlight w:val="yellow"/>
          <w:lang w:eastAsia="zh-CN"/>
        </w:rPr>
        <w:t>implementation of the action</w:t>
      </w:r>
      <w:r w:rsidRPr="002C272D">
        <w:rPr>
          <w:rFonts w:eastAsia="SimSun"/>
          <w:lang w:eastAsia="zh-CN"/>
        </w:rPr>
        <w:t xml:space="preserve"> plan</w:t>
      </w:r>
      <w:r w:rsidRPr="00BE0454">
        <w:rPr>
          <w:rFonts w:eastAsia="SimSun"/>
          <w:highlight w:val="yellow"/>
          <w:lang w:eastAsia="zh-CN"/>
        </w:rPr>
        <w:t>.</w:t>
      </w:r>
    </w:p>
    <w:p w14:paraId="62B15092" w14:textId="6495A2B1" w:rsidR="00F8236B" w:rsidRPr="002C272D" w:rsidRDefault="00F8236B" w:rsidP="003D7BA3">
      <w:pPr>
        <w:pStyle w:val="ListParagraph"/>
        <w:numPr>
          <w:ilvl w:val="0"/>
          <w:numId w:val="34"/>
        </w:numPr>
        <w:autoSpaceDE w:val="0"/>
        <w:autoSpaceDN w:val="0"/>
        <w:adjustRightInd w:val="0"/>
        <w:spacing w:beforeLines="50" w:before="120" w:afterLines="50" w:after="120"/>
        <w:ind w:left="1080"/>
        <w:contextualSpacing/>
        <w:jc w:val="both"/>
        <w:rPr>
          <w:rFonts w:eastAsia="SimSun"/>
          <w:b/>
          <w:lang w:eastAsia="zh-CN"/>
        </w:rPr>
      </w:pPr>
      <w:r w:rsidRPr="00BE0454">
        <w:rPr>
          <w:rFonts w:eastAsia="SimSun"/>
          <w:bCs/>
          <w:lang w:eastAsia="zh-CN"/>
        </w:rPr>
        <w:t>as</w:t>
      </w:r>
      <w:r w:rsidRPr="002C272D">
        <w:rPr>
          <w:rFonts w:eastAsia="SimSun"/>
          <w:b/>
          <w:lang w:eastAsia="zh-CN"/>
        </w:rPr>
        <w:t xml:space="preserve"> a set of general criteria for the evaluation of ITU-T SG restructuring.</w:t>
      </w:r>
    </w:p>
    <w:p w14:paraId="476CE541" w14:textId="77777777" w:rsidR="00F8236B" w:rsidRPr="002C272D" w:rsidRDefault="00F8236B" w:rsidP="003D7BA3">
      <w:pPr>
        <w:pStyle w:val="Heading2"/>
        <w:spacing w:line="240" w:lineRule="auto"/>
        <w:rPr>
          <w:rFonts w:asciiTheme="minorHAnsi" w:hAnsiTheme="minorHAnsi" w:cstheme="minorHAnsi"/>
          <w:sz w:val="24"/>
          <w:szCs w:val="24"/>
        </w:rPr>
      </w:pPr>
      <w:r w:rsidRPr="002C272D">
        <w:rPr>
          <w:rFonts w:asciiTheme="minorHAnsi" w:hAnsiTheme="minorHAnsi" w:cstheme="minorHAnsi"/>
          <w:sz w:val="24"/>
          <w:szCs w:val="24"/>
        </w:rPr>
        <w:t>3.1 Principles</w:t>
      </w:r>
    </w:p>
    <w:p w14:paraId="37A3BDE3" w14:textId="77777777" w:rsidR="00F8236B" w:rsidRDefault="00F8236B" w:rsidP="003D7BA3">
      <w:pPr>
        <w:spacing w:line="240" w:lineRule="auto"/>
        <w:jc w:val="both"/>
        <w:rPr>
          <w:rFonts w:cstheme="minorHAnsi"/>
          <w:szCs w:val="24"/>
        </w:rPr>
      </w:pPr>
      <w:r w:rsidRPr="00BE0454">
        <w:rPr>
          <w:rFonts w:eastAsia="SimSun"/>
          <w:bCs/>
          <w:highlight w:val="yellow"/>
          <w:lang w:eastAsia="zh-CN"/>
        </w:rPr>
        <w:t>The seven high-level principles generated by WTSA-16 and their detailed explanation (</w:t>
      </w:r>
      <w:r w:rsidRPr="00BE0454">
        <w:rPr>
          <w:rFonts w:cstheme="minorHAnsi"/>
          <w:szCs w:val="24"/>
          <w:highlight w:val="yellow"/>
        </w:rPr>
        <w:t xml:space="preserve">See </w:t>
      </w:r>
      <w:hyperlink r:id="rId5" w:history="1">
        <w:r w:rsidRPr="00BE0454">
          <w:rPr>
            <w:rStyle w:val="Hyperlink"/>
            <w:rFonts w:asciiTheme="minorHAnsi" w:hAnsiTheme="minorHAnsi" w:cstheme="minorHAnsi"/>
            <w:szCs w:val="24"/>
            <w:highlight w:val="yellow"/>
          </w:rPr>
          <w:t>TD457r2</w:t>
        </w:r>
      </w:hyperlink>
      <w:r w:rsidRPr="00BE0454">
        <w:rPr>
          <w:rStyle w:val="Hyperlink"/>
          <w:rFonts w:cstheme="minorHAnsi"/>
          <w:szCs w:val="24"/>
          <w:highlight w:val="yellow"/>
        </w:rPr>
        <w:t xml:space="preserve"> [Annex A])</w:t>
      </w:r>
      <w:r w:rsidRPr="00BE0454">
        <w:rPr>
          <w:rFonts w:cstheme="minorHAnsi"/>
          <w:szCs w:val="24"/>
          <w:highlight w:val="yellow"/>
        </w:rPr>
        <w:t xml:space="preserve"> and repeated in TD937R1 </w:t>
      </w:r>
      <w:r w:rsidRPr="00BE0454">
        <w:rPr>
          <w:rFonts w:eastAsia="SimSun"/>
          <w:bCs/>
          <w:highlight w:val="yellow"/>
          <w:lang w:eastAsia="zh-CN"/>
        </w:rPr>
        <w:t xml:space="preserve">should be used in the consideration of the benefits of each of the potential re-structuring options in the output of the action plan. </w:t>
      </w:r>
      <w:r w:rsidRPr="00BE0454">
        <w:rPr>
          <w:rFonts w:cstheme="minorHAnsi"/>
          <w:szCs w:val="24"/>
          <w:highlight w:val="yellow"/>
        </w:rPr>
        <w:t>(See Annex 2)</w:t>
      </w:r>
      <w:r w:rsidRPr="002C272D">
        <w:rPr>
          <w:rFonts w:cstheme="minorHAnsi"/>
          <w:szCs w:val="24"/>
        </w:rPr>
        <w:t xml:space="preserve"> </w:t>
      </w:r>
    </w:p>
    <w:p w14:paraId="1FB88E0D" w14:textId="23F22382" w:rsidR="00F8236B" w:rsidRPr="002C272D" w:rsidRDefault="00F8236B" w:rsidP="003D7BA3">
      <w:pPr>
        <w:spacing w:line="240" w:lineRule="auto"/>
        <w:jc w:val="both"/>
        <w:rPr>
          <w:rFonts w:cstheme="minorHAnsi"/>
          <w:szCs w:val="24"/>
        </w:rPr>
      </w:pPr>
      <w:r w:rsidRPr="002C272D">
        <w:rPr>
          <w:rFonts w:cstheme="minorHAnsi"/>
          <w:szCs w:val="24"/>
        </w:rPr>
        <w:t>[The seven high level principles listed are as follows</w:t>
      </w:r>
    </w:p>
    <w:p w14:paraId="062E415F" w14:textId="77777777" w:rsidR="00F8236B" w:rsidRPr="002C272D" w:rsidRDefault="00F8236B" w:rsidP="00BA3230">
      <w:pPr>
        <w:pStyle w:val="ListParagraph"/>
        <w:numPr>
          <w:ilvl w:val="0"/>
          <w:numId w:val="32"/>
        </w:numPr>
        <w:jc w:val="both"/>
        <w:rPr>
          <w:rFonts w:cstheme="minorHAnsi"/>
          <w:sz w:val="24"/>
          <w:szCs w:val="24"/>
        </w:rPr>
      </w:pPr>
      <w:r w:rsidRPr="002C272D">
        <w:rPr>
          <w:rFonts w:cstheme="minorHAnsi"/>
          <w:sz w:val="24"/>
          <w:szCs w:val="24"/>
        </w:rPr>
        <w:t>Optimised Structure</w:t>
      </w:r>
    </w:p>
    <w:p w14:paraId="378E9947" w14:textId="77777777"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Clear Mandates</w:t>
      </w:r>
    </w:p>
    <w:p w14:paraId="749B025F" w14:textId="77777777"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Enhanced Co-ordination and co-operation</w:t>
      </w:r>
    </w:p>
    <w:p w14:paraId="79B6DE95" w14:textId="77777777"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Cost Effectiveness and attractiveness</w:t>
      </w:r>
    </w:p>
    <w:p w14:paraId="778605DE" w14:textId="77777777"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Efficient and productive working methods</w:t>
      </w:r>
    </w:p>
    <w:p w14:paraId="6B9C0CB5" w14:textId="77777777"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Timely identification of standardisation needs</w:t>
      </w:r>
    </w:p>
    <w:p w14:paraId="5CA06DB8" w14:textId="77777777"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Support for bridging the standardisation gap]</w:t>
      </w:r>
    </w:p>
    <w:p w14:paraId="119E1053" w14:textId="77777777" w:rsidR="00F8236B" w:rsidRPr="002C272D" w:rsidRDefault="00F8236B" w:rsidP="003D7BA3">
      <w:pPr>
        <w:pStyle w:val="ListParagraph"/>
        <w:jc w:val="both"/>
        <w:rPr>
          <w:rFonts w:eastAsia="Calibri" w:cstheme="minorHAnsi"/>
          <w:sz w:val="24"/>
          <w:szCs w:val="24"/>
        </w:rPr>
      </w:pPr>
    </w:p>
    <w:p w14:paraId="77E509E1" w14:textId="77777777" w:rsidR="00F8236B" w:rsidRPr="002C272D" w:rsidRDefault="00F8236B" w:rsidP="003D7BA3">
      <w:pPr>
        <w:spacing w:line="240" w:lineRule="auto"/>
        <w:rPr>
          <w:rFonts w:eastAsia="Times New Roman" w:cstheme="minorHAnsi"/>
          <w:szCs w:val="24"/>
        </w:rPr>
      </w:pPr>
      <w:r w:rsidRPr="002C272D">
        <w:rPr>
          <w:rFonts w:eastAsia="Times New Roman" w:cstheme="minorHAnsi"/>
          <w:szCs w:val="24"/>
        </w:rPr>
        <w:t xml:space="preserve">The main information required to assess each of the restructuring options will be based primarily on the principles and agreed metrics by the ITU membership. </w:t>
      </w:r>
    </w:p>
    <w:p w14:paraId="28B8F2C1" w14:textId="2C198C5C"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1. Standards should be developed with the necessary expertise and background needed to ensure a substantive outcome.</w:t>
      </w:r>
    </w:p>
    <w:p w14:paraId="5A458CE2" w14:textId="57439849"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 xml:space="preserve">2. Care should be taken to avoid duplication of standardization work between ITU-T study groups, or other global standards development organisations (SDOs). </w:t>
      </w:r>
    </w:p>
    <w:p w14:paraId="393AB1D6" w14:textId="3D02C193"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 xml:space="preserve">3. The current number of ITU-T study groups is 11 and this should not be increased.  This current number is a stable number and if there is a proposal to create a new study group, then the total number should be maintained.  </w:t>
      </w:r>
    </w:p>
    <w:p w14:paraId="1BC542A0" w14:textId="5D27F56D" w:rsidR="00F8236B" w:rsidRDefault="00F8236B" w:rsidP="003D7BA3">
      <w:pPr>
        <w:spacing w:before="240" w:line="240" w:lineRule="auto"/>
        <w:rPr>
          <w:rFonts w:eastAsia="Times New Roman" w:cstheme="minorHAnsi"/>
          <w:szCs w:val="24"/>
        </w:rPr>
      </w:pPr>
      <w:r>
        <w:rPr>
          <w:rFonts w:eastAsia="Times New Roman" w:cstheme="minorHAnsi"/>
          <w:szCs w:val="24"/>
        </w:rPr>
        <w:t xml:space="preserve"> </w:t>
      </w:r>
    </w:p>
    <w:p w14:paraId="7999AC78" w14:textId="77777777" w:rsidR="00F8236B" w:rsidRPr="002C272D" w:rsidRDefault="00F8236B" w:rsidP="003D7BA3">
      <w:pPr>
        <w:spacing w:before="240" w:line="240" w:lineRule="auto"/>
        <w:rPr>
          <w:rFonts w:eastAsia="Times New Roman" w:cstheme="minorHAnsi"/>
          <w:szCs w:val="24"/>
        </w:rPr>
      </w:pPr>
      <w:r w:rsidRPr="00071504">
        <w:rPr>
          <w:rFonts w:eastAsia="Times New Roman" w:cstheme="minorHAnsi"/>
          <w:szCs w:val="24"/>
          <w:highlight w:val="green"/>
        </w:rPr>
        <w:t xml:space="preserve">(Editor’s note source from UK explanation document - </w:t>
      </w:r>
      <w:r w:rsidRPr="00BE0454">
        <w:rPr>
          <w:szCs w:val="24"/>
          <w:highlight w:val="green"/>
        </w:rPr>
        <w:t>This is an activity outside of the scope of the action plan and should be discussed elsewhere</w:t>
      </w:r>
      <w:r w:rsidRPr="00BE0454">
        <w:rPr>
          <w:noProof/>
          <w:szCs w:val="24"/>
          <w:highlight w:val="green"/>
        </w:rPr>
        <w:t xml:space="preserve"> </w:t>
      </w:r>
      <w:r w:rsidRPr="00BE0454">
        <w:rPr>
          <w:szCs w:val="24"/>
          <w:highlight w:val="green"/>
        </w:rPr>
        <w:t>as it will be part of the use made of the output of the action plan rather than the action plan itself.)</w:t>
      </w:r>
      <w:r w:rsidRPr="00604972">
        <w:rPr>
          <w:szCs w:val="24"/>
        </w:rPr>
        <w:t xml:space="preserve">  </w:t>
      </w:r>
    </w:p>
    <w:p w14:paraId="0692324E" w14:textId="18FB79DD" w:rsidR="00F8236B" w:rsidRPr="002C272D" w:rsidRDefault="00F8236B" w:rsidP="003D7BA3">
      <w:pPr>
        <w:spacing w:before="240" w:line="240" w:lineRule="auto"/>
        <w:rPr>
          <w:rFonts w:eastAsia="Times New Roman" w:cstheme="minorHAnsi"/>
          <w:szCs w:val="24"/>
        </w:rPr>
      </w:pPr>
    </w:p>
    <w:p w14:paraId="31A083C6" w14:textId="77777777"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 xml:space="preserve">4. Questions within Study Groups should be limited in number </w:t>
      </w:r>
      <w:proofErr w:type="gramStart"/>
      <w:r w:rsidRPr="002C272D">
        <w:rPr>
          <w:rFonts w:eastAsia="Times New Roman" w:cstheme="minorHAnsi"/>
          <w:szCs w:val="24"/>
        </w:rPr>
        <w:t>in order to</w:t>
      </w:r>
      <w:proofErr w:type="gramEnd"/>
      <w:r w:rsidRPr="002C272D">
        <w:rPr>
          <w:rFonts w:eastAsia="Times New Roman" w:cstheme="minorHAnsi"/>
          <w:szCs w:val="24"/>
        </w:rPr>
        <w:t xml:space="preserve"> facilitate engagement and participation by members as well as efficiency in work item allocation among questions, and where there are a number of questions these should be merged.  The analytical study could consider this aspect of its work in the context of each of the options that will be reviewed.  </w:t>
      </w:r>
    </w:p>
    <w:p w14:paraId="75EC0790" w14:textId="77777777"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lastRenderedPageBreak/>
        <w:t>5. Standardisation of new and emerging technologies should be integrated into existing study groups and merged into Questions through the establishment of new work items, where appropriate.</w:t>
      </w:r>
    </w:p>
    <w:p w14:paraId="7E5CF3F4" w14:textId="73E2E400" w:rsidR="00F8236B" w:rsidRDefault="00F8236B" w:rsidP="003D7BA3">
      <w:pPr>
        <w:autoSpaceDE w:val="0"/>
        <w:autoSpaceDN w:val="0"/>
        <w:adjustRightInd w:val="0"/>
        <w:spacing w:beforeLines="50" w:before="120" w:afterLines="50" w:after="120" w:line="240" w:lineRule="auto"/>
        <w:jc w:val="both"/>
        <w:rPr>
          <w:rFonts w:eastAsia="SimSun"/>
          <w:lang w:eastAsia="zh-CN"/>
        </w:rPr>
      </w:pPr>
    </w:p>
    <w:p w14:paraId="4F07D97E" w14:textId="77777777" w:rsidR="00F8236B" w:rsidRPr="002C272D" w:rsidRDefault="00F8236B" w:rsidP="003D7BA3">
      <w:pPr>
        <w:autoSpaceDE w:val="0"/>
        <w:autoSpaceDN w:val="0"/>
        <w:adjustRightInd w:val="0"/>
        <w:spacing w:beforeLines="50" w:before="120" w:afterLines="50" w:after="120" w:line="240" w:lineRule="auto"/>
        <w:jc w:val="both"/>
        <w:rPr>
          <w:rFonts w:eastAsia="SimSun"/>
          <w:lang w:eastAsia="zh-CN"/>
        </w:rPr>
      </w:pPr>
      <w:r w:rsidRPr="00071504">
        <w:rPr>
          <w:rFonts w:eastAsia="Times New Roman" w:cstheme="minorHAnsi"/>
          <w:szCs w:val="24"/>
          <w:highlight w:val="green"/>
        </w:rPr>
        <w:t xml:space="preserve">(Editor’s note source from UK explanation document - </w:t>
      </w:r>
      <w:r w:rsidRPr="00BE0454">
        <w:rPr>
          <w:szCs w:val="24"/>
          <w:highlight w:val="green"/>
        </w:rPr>
        <w:t>This is an activity outside of the scope of the action plan and should be discussed after the action plan has been delivered</w:t>
      </w:r>
      <w:r w:rsidRPr="00071504">
        <w:rPr>
          <w:szCs w:val="24"/>
          <w:highlight w:val="green"/>
        </w:rPr>
        <w:t>.)</w:t>
      </w:r>
    </w:p>
    <w:p w14:paraId="7B2F885E" w14:textId="77777777" w:rsidR="00F8236B" w:rsidRPr="002C272D" w:rsidRDefault="00F8236B" w:rsidP="003D7BA3">
      <w:pPr>
        <w:pStyle w:val="Heading2"/>
        <w:spacing w:line="240" w:lineRule="auto"/>
        <w:rPr>
          <w:rFonts w:asciiTheme="minorHAnsi" w:hAnsiTheme="minorHAnsi" w:cstheme="minorHAnsi"/>
          <w:sz w:val="24"/>
          <w:szCs w:val="24"/>
        </w:rPr>
      </w:pPr>
      <w:r w:rsidRPr="002C272D">
        <w:rPr>
          <w:rFonts w:asciiTheme="minorHAnsi" w:hAnsiTheme="minorHAnsi" w:cstheme="minorHAnsi"/>
          <w:sz w:val="24"/>
          <w:szCs w:val="24"/>
        </w:rPr>
        <w:t>3.2 Metrics Required</w:t>
      </w:r>
    </w:p>
    <w:p w14:paraId="698F76EE" w14:textId="11F8B96C" w:rsidR="00F8236B" w:rsidRPr="002C272D" w:rsidRDefault="00F8236B" w:rsidP="003D7BA3">
      <w:pPr>
        <w:spacing w:line="240" w:lineRule="auto"/>
        <w:jc w:val="both"/>
        <w:rPr>
          <w:rFonts w:eastAsia="Calibri" w:cstheme="minorHAnsi"/>
          <w:szCs w:val="24"/>
        </w:rPr>
      </w:pPr>
      <w:r w:rsidRPr="002C272D">
        <w:rPr>
          <w:rFonts w:cstheme="minorHAnsi"/>
          <w:szCs w:val="24"/>
          <w:lang w:eastAsia="en-US"/>
        </w:rPr>
        <w:t>The action plan</w:t>
      </w:r>
      <w:r>
        <w:rPr>
          <w:rFonts w:cstheme="minorHAnsi"/>
          <w:szCs w:val="24"/>
          <w:lang w:eastAsia="en-US"/>
        </w:rPr>
        <w:t xml:space="preserve"> </w:t>
      </w:r>
      <w:r w:rsidRPr="00BE0454">
        <w:rPr>
          <w:rFonts w:cstheme="minorHAnsi"/>
          <w:szCs w:val="24"/>
          <w:highlight w:val="yellow"/>
          <w:lang w:eastAsia="en-US"/>
        </w:rPr>
        <w:t xml:space="preserve">will utilise the following initial </w:t>
      </w:r>
      <w:r w:rsidRPr="002C272D">
        <w:rPr>
          <w:rFonts w:cstheme="minorHAnsi"/>
          <w:szCs w:val="24"/>
          <w:lang w:eastAsia="en-US"/>
        </w:rPr>
        <w:t>data gathered from the period 2000 through 2020.</w:t>
      </w:r>
      <w:r w:rsidRPr="002C272D">
        <w:rPr>
          <w:rFonts w:eastAsia="Calibri" w:cstheme="minorHAnsi"/>
          <w:szCs w:val="24"/>
          <w:lang w:eastAsia="en-US"/>
        </w:rPr>
        <w:t xml:space="preserve"> </w:t>
      </w:r>
      <w:r w:rsidRPr="00BE0454">
        <w:rPr>
          <w:rFonts w:eastAsia="Calibri" w:cstheme="minorHAnsi"/>
          <w:szCs w:val="24"/>
          <w:highlight w:val="yellow"/>
        </w:rPr>
        <w:t>These</w:t>
      </w:r>
      <w:r w:rsidRPr="002C272D">
        <w:rPr>
          <w:rFonts w:eastAsia="Calibri" w:cstheme="minorHAnsi"/>
          <w:szCs w:val="24"/>
        </w:rPr>
        <w:t xml:space="preserve"> metrics may be supplemented by additional data deemed useful to answer and analyse the stated questions.</w:t>
      </w:r>
    </w:p>
    <w:p w14:paraId="3FD2812C" w14:textId="0DEE1936" w:rsidR="00F8236B" w:rsidRPr="002C272D" w:rsidRDefault="00F8236B" w:rsidP="003D7BA3">
      <w:pPr>
        <w:spacing w:line="240" w:lineRule="auto"/>
        <w:jc w:val="both"/>
        <w:rPr>
          <w:rFonts w:eastAsia="Calibri" w:cstheme="minorHAnsi"/>
          <w:szCs w:val="24"/>
        </w:rPr>
      </w:pPr>
      <w:r w:rsidRPr="002C272D">
        <w:rPr>
          <w:rFonts w:eastAsia="Calibri" w:cstheme="minorHAnsi"/>
          <w:szCs w:val="24"/>
        </w:rPr>
        <w:t xml:space="preserve">The </w:t>
      </w:r>
      <w:r w:rsidRPr="00BE0454">
        <w:rPr>
          <w:rFonts w:eastAsia="Calibri" w:cstheme="minorHAnsi"/>
          <w:szCs w:val="24"/>
          <w:highlight w:val="yellow"/>
        </w:rPr>
        <w:t>use of the metrics</w:t>
      </w:r>
      <w:r w:rsidRPr="002C272D">
        <w:rPr>
          <w:rFonts w:eastAsia="Calibri" w:cstheme="minorHAnsi"/>
          <w:szCs w:val="24"/>
        </w:rPr>
        <w:t xml:space="preserve"> listed should serve as the basis for a Terms of Reference for external independent consultant</w:t>
      </w:r>
      <w:r>
        <w:rPr>
          <w:rFonts w:eastAsia="Calibri" w:cstheme="minorHAnsi"/>
          <w:szCs w:val="24"/>
        </w:rPr>
        <w:t xml:space="preserve"> </w:t>
      </w:r>
      <w:r w:rsidRPr="00BE0454">
        <w:rPr>
          <w:rFonts w:eastAsia="Calibri" w:cstheme="minorHAnsi"/>
          <w:szCs w:val="24"/>
          <w:highlight w:val="yellow"/>
        </w:rPr>
        <w:t>may provide input into the answers to the questions listed</w:t>
      </w:r>
      <w:r w:rsidRPr="002C272D">
        <w:rPr>
          <w:rFonts w:eastAsia="Calibri" w:cstheme="minorHAnsi"/>
          <w:szCs w:val="24"/>
        </w:rPr>
        <w:t xml:space="preserve">.  The independent external consultant shall present an analysis of these questions and metrics, as well as the underlying data and methodologies used to TSAG and Council.  </w:t>
      </w:r>
    </w:p>
    <w:p w14:paraId="09B2405E" w14:textId="77777777" w:rsidR="00F8236B" w:rsidRPr="002C272D" w:rsidRDefault="00F8236B" w:rsidP="00BA3230">
      <w:pPr>
        <w:pStyle w:val="ListParagraph"/>
        <w:numPr>
          <w:ilvl w:val="0"/>
          <w:numId w:val="31"/>
        </w:numPr>
        <w:spacing w:before="120"/>
        <w:ind w:left="709"/>
        <w:rPr>
          <w:rFonts w:eastAsia="SimSun" w:cstheme="minorHAnsi"/>
          <w:sz w:val="24"/>
          <w:szCs w:val="24"/>
        </w:rPr>
      </w:pPr>
      <w:r w:rsidRPr="002C272D">
        <w:rPr>
          <w:rFonts w:cstheme="minorHAnsi"/>
          <w:sz w:val="24"/>
          <w:szCs w:val="24"/>
        </w:rPr>
        <w:t xml:space="preserve">Do ITU-T’s standardization activities reflect high-quality, demand-driven, efficient, cost-effective </w:t>
      </w:r>
      <w:proofErr w:type="gramStart"/>
      <w:r w:rsidRPr="002C272D">
        <w:rPr>
          <w:rFonts w:cstheme="minorHAnsi"/>
          <w:sz w:val="24"/>
          <w:szCs w:val="24"/>
        </w:rPr>
        <w:t>and,</w:t>
      </w:r>
      <w:proofErr w:type="gramEnd"/>
      <w:r w:rsidRPr="002C272D">
        <w:rPr>
          <w:rFonts w:cstheme="minorHAnsi"/>
          <w:sz w:val="24"/>
          <w:szCs w:val="24"/>
        </w:rPr>
        <w:t xml:space="preserve"> timely development of Recommendations?</w:t>
      </w:r>
    </w:p>
    <w:p w14:paraId="165BFF49" w14:textId="77777777"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participation, </w:t>
      </w:r>
      <w:proofErr w:type="gramStart"/>
      <w:r w:rsidRPr="002C272D">
        <w:rPr>
          <w:rFonts w:eastAsia="Calibri" w:cstheme="minorHAnsi"/>
          <w:sz w:val="24"/>
          <w:szCs w:val="24"/>
        </w:rPr>
        <w:t>contribution</w:t>
      </w:r>
      <w:proofErr w:type="gramEnd"/>
      <w:r w:rsidRPr="002C272D">
        <w:rPr>
          <w:rFonts w:eastAsia="Calibri" w:cstheme="minorHAnsi"/>
          <w:sz w:val="24"/>
          <w:szCs w:val="24"/>
        </w:rPr>
        <w:t xml:space="preserve"> and leadership by types of membership from 2000 to 2020 for each Study group and related subgroups</w:t>
      </w:r>
    </w:p>
    <w:p w14:paraId="625D62A4" w14:textId="77777777"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number of months elapsed between introduction and adoption of Recommendations by Study Groups from 2000 and 2020</w:t>
      </w:r>
    </w:p>
    <w:p w14:paraId="339E2697" w14:textId="77777777"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number of liaison statements from other standardization organizations during 2000 and 2020</w:t>
      </w:r>
    </w:p>
    <w:p w14:paraId="553B2FBE" w14:textId="77777777"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number of Recommendations approved using traditional approval process from 2000 to 2020 </w:t>
      </w:r>
    </w:p>
    <w:p w14:paraId="5AA37166" w14:textId="77777777"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number of test suites developed using ITU-T Recommendations from 2000 to 2020 </w:t>
      </w:r>
    </w:p>
    <w:p w14:paraId="4B424D0A" w14:textId="77777777" w:rsidR="00F8236B" w:rsidRPr="002C272D" w:rsidRDefault="00F8236B" w:rsidP="003D7BA3">
      <w:pPr>
        <w:numPr>
          <w:ilvl w:val="0"/>
          <w:numId w:val="31"/>
        </w:numPr>
        <w:autoSpaceDE w:val="0"/>
        <w:autoSpaceDN w:val="0"/>
        <w:adjustRightInd w:val="0"/>
        <w:spacing w:before="120" w:after="0" w:line="240" w:lineRule="auto"/>
        <w:ind w:left="720"/>
        <w:jc w:val="both"/>
        <w:rPr>
          <w:rFonts w:eastAsia="Calibri" w:cstheme="minorHAnsi"/>
          <w:szCs w:val="24"/>
        </w:rPr>
      </w:pPr>
      <w:r w:rsidRPr="002C272D">
        <w:rPr>
          <w:rFonts w:eastAsia="Calibri" w:cstheme="minorHAnsi"/>
          <w:szCs w:val="24"/>
        </w:rPr>
        <w:t>What value do ITU-T’s Recommendations add or have significant impact on the ITU Membership?</w:t>
      </w:r>
    </w:p>
    <w:p w14:paraId="4992638E"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downloads by Recommendation from 2000 to 2020</w:t>
      </w:r>
    </w:p>
    <w:p w14:paraId="10022025"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incorporated or adopted by other standardization organizations from 2000 to 2020</w:t>
      </w:r>
    </w:p>
    <w:p w14:paraId="3C97F1F3"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standards essential patents first in ITU-T Recommendations from 2000 to 2020</w:t>
      </w:r>
    </w:p>
    <w:p w14:paraId="2C29CE32"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the press from 2000 to 2020</w:t>
      </w:r>
    </w:p>
    <w:p w14:paraId="5AD8229D"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Member States' laws and regulations as of 2020</w:t>
      </w:r>
    </w:p>
    <w:p w14:paraId="30B4C1B2" w14:textId="77777777" w:rsidR="00F8236B" w:rsidRPr="002C272D" w:rsidRDefault="00F8236B" w:rsidP="003D7BA3">
      <w:pPr>
        <w:pStyle w:val="NormalWeb"/>
        <w:numPr>
          <w:ilvl w:val="0"/>
          <w:numId w:val="7"/>
        </w:numPr>
        <w:shd w:val="clear" w:color="auto" w:fill="FFFFFF"/>
        <w:autoSpaceDE w:val="0"/>
        <w:autoSpaceDN w:val="0"/>
        <w:adjustRightInd w:val="0"/>
        <w:contextualSpacing/>
        <w:rPr>
          <w:rFonts w:asciiTheme="minorHAnsi" w:hAnsiTheme="minorHAnsi" w:cstheme="minorHAnsi"/>
        </w:rPr>
      </w:pPr>
      <w:r w:rsidRPr="002C272D">
        <w:rPr>
          <w:rFonts w:asciiTheme="minorHAnsi" w:hAnsiTheme="minorHAnsi" w:cstheme="minorHAnsi"/>
          <w:color w:val="000000"/>
        </w:rPr>
        <w:t>number of ITU-T Recommendations, Guidelines and Reports with policy or regulatory implications between 2000 to 2020</w:t>
      </w:r>
    </w:p>
    <w:p w14:paraId="21778948"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 xml:space="preserve">number of ITU-T Recommendations cited in Sector Members’ press releases and documentation from 2000 to </w:t>
      </w:r>
      <w:proofErr w:type="gramStart"/>
      <w:r w:rsidRPr="002C272D">
        <w:rPr>
          <w:rFonts w:eastAsia="Calibri" w:cstheme="minorHAnsi"/>
          <w:szCs w:val="24"/>
        </w:rPr>
        <w:t>2020;</w:t>
      </w:r>
      <w:proofErr w:type="gramEnd"/>
    </w:p>
    <w:p w14:paraId="01DA4ACE"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comparable numbers to the above for other SDOs, including but not limited to ISO, IEC, IEEE, IETF, and 3GPP,</w:t>
      </w:r>
    </w:p>
    <w:p w14:paraId="2E74646E"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adopted and implemented by industry from 2000 to 2020,</w:t>
      </w:r>
    </w:p>
    <w:p w14:paraId="423D8E27" w14:textId="77777777" w:rsidR="00F8236B" w:rsidRPr="002C272D" w:rsidRDefault="00F8236B" w:rsidP="003D7BA3">
      <w:pPr>
        <w:numPr>
          <w:ilvl w:val="0"/>
          <w:numId w:val="31"/>
        </w:numPr>
        <w:autoSpaceDE w:val="0"/>
        <w:autoSpaceDN w:val="0"/>
        <w:adjustRightInd w:val="0"/>
        <w:spacing w:before="120" w:after="0" w:line="240" w:lineRule="auto"/>
        <w:ind w:left="720"/>
        <w:jc w:val="both"/>
        <w:rPr>
          <w:rFonts w:eastAsia="Calibri" w:cstheme="minorHAnsi"/>
          <w:szCs w:val="24"/>
        </w:rPr>
      </w:pPr>
      <w:r w:rsidRPr="002C272D">
        <w:rPr>
          <w:rFonts w:eastAsia="Calibri" w:cstheme="minorHAnsi"/>
          <w:szCs w:val="24"/>
        </w:rPr>
        <w:t>How does ITU-T cooperate and coordinate with other standardization organizations?</w:t>
      </w:r>
    </w:p>
    <w:p w14:paraId="4E8355DE"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liaison statements sent to other standardization organizations from 2000 to 2020</w:t>
      </w:r>
    </w:p>
    <w:p w14:paraId="1F820E7A"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memoranda of understanding with other SDOs</w:t>
      </w:r>
    </w:p>
    <w:p w14:paraId="5B721637"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lastRenderedPageBreak/>
        <w:t>number of joint workshops or activities with other SDOs</w:t>
      </w:r>
    </w:p>
    <w:p w14:paraId="42CB2927"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cstheme="minorHAnsi"/>
          <w:szCs w:val="24"/>
          <w:lang w:val="en-CA"/>
        </w:rPr>
        <w:t>number of standards from other SDOs incorporated or adopted by ITU-T from 2000 to 2020 separated by field/subject</w:t>
      </w:r>
    </w:p>
    <w:p w14:paraId="06F68999" w14:textId="77777777" w:rsidR="00F8236B" w:rsidRPr="002C272D" w:rsidRDefault="00F8236B" w:rsidP="003D7BA3">
      <w:pPr>
        <w:pStyle w:val="ListParagraph"/>
        <w:numPr>
          <w:ilvl w:val="0"/>
          <w:numId w:val="31"/>
        </w:numPr>
        <w:spacing w:before="120"/>
        <w:ind w:left="630"/>
        <w:rPr>
          <w:rFonts w:eastAsia="Calibri" w:cstheme="minorHAnsi"/>
          <w:sz w:val="24"/>
          <w:szCs w:val="24"/>
        </w:rPr>
      </w:pPr>
      <w:r w:rsidRPr="002C272D">
        <w:rPr>
          <w:rFonts w:eastAsia="Calibri" w:cstheme="minorHAnsi"/>
          <w:sz w:val="24"/>
          <w:szCs w:val="24"/>
        </w:rPr>
        <w:t>How is ITU-T engaged in fulfilling its obligations under Bridging the Standardization Gap (BSG) and what is the impact of these activities?</w:t>
      </w:r>
    </w:p>
    <w:p w14:paraId="3B09708C"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annual number of participants from developing countries in ITU-T Study Groups, Focus Groups and Rapporteur Groups during 2000 and 2020</w:t>
      </w:r>
    </w:p>
    <w:p w14:paraId="742F8D03"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technical training and workshops organized by ITU-T and the regional offices under Bridging the Standardization Gap (BSG)</w:t>
      </w:r>
    </w:p>
    <w:p w14:paraId="5F41AA58"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level of participation and satisfaction regarding ITU-T workshops</w:t>
      </w:r>
    </w:p>
    <w:p w14:paraId="7530CE5A"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size of assistance provided to Member States with low and basic standards capability on the National Standards Capability Scale developed by ITU-T</w:t>
      </w:r>
    </w:p>
    <w:p w14:paraId="6C695179"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 xml:space="preserve">cooperation with ITU-D and regional offices regarding capacity building on standards </w:t>
      </w:r>
    </w:p>
    <w:p w14:paraId="1F6775B0" w14:textId="77777777" w:rsidR="00F8236B" w:rsidRPr="002C272D" w:rsidRDefault="00F8236B" w:rsidP="003D7BA3">
      <w:pPr>
        <w:pStyle w:val="ListParagraph"/>
        <w:numPr>
          <w:ilvl w:val="0"/>
          <w:numId w:val="31"/>
        </w:numPr>
        <w:spacing w:before="120"/>
        <w:ind w:left="630"/>
        <w:rPr>
          <w:rFonts w:eastAsia="Calibri" w:cstheme="minorHAnsi"/>
          <w:sz w:val="24"/>
          <w:szCs w:val="24"/>
        </w:rPr>
      </w:pPr>
      <w:r w:rsidRPr="002C272D">
        <w:rPr>
          <w:rFonts w:eastAsia="Calibri" w:cstheme="minorHAnsi"/>
          <w:sz w:val="24"/>
          <w:szCs w:val="24"/>
        </w:rPr>
        <w:t>How do ITU Membership participate in international SDOs that are engaged in telecommunication/ICT related activities:</w:t>
      </w:r>
    </w:p>
    <w:p w14:paraId="5F1A959C"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participants by developing and developed countries during 2000 and 2020</w:t>
      </w:r>
    </w:p>
    <w:p w14:paraId="19EA761D"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leadership position held by ITU Membership in other SDOs by Region</w:t>
      </w:r>
    </w:p>
    <w:p w14:paraId="52C1F45A" w14:textId="77777777" w:rsidR="00F8236B" w:rsidRPr="002C272D" w:rsidRDefault="00F8236B" w:rsidP="003D7BA3">
      <w:pPr>
        <w:pStyle w:val="ListParagraph"/>
        <w:numPr>
          <w:ilvl w:val="0"/>
          <w:numId w:val="31"/>
        </w:numPr>
        <w:spacing w:before="120"/>
        <w:ind w:left="630"/>
        <w:rPr>
          <w:rFonts w:eastAsia="SimSun" w:cstheme="minorHAnsi"/>
          <w:sz w:val="24"/>
          <w:szCs w:val="24"/>
        </w:rPr>
      </w:pPr>
      <w:r w:rsidRPr="002C272D">
        <w:rPr>
          <w:rFonts w:cstheme="minorHAnsi"/>
          <w:sz w:val="24"/>
          <w:szCs w:val="24"/>
        </w:rPr>
        <w:t>Is the current structure of Study Groups conducive to the standardization process of the rapid pace of telecommunication/ICT technology development?</w:t>
      </w:r>
    </w:p>
    <w:p w14:paraId="75C7F4E9" w14:textId="77777777" w:rsidR="00F8236B" w:rsidRPr="002C272D"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Does the ITU-T standardization process reflect standardization principles of openness, transparency, inclusiveness, demand-driven, consensus-based, voluntary, and timely?</w:t>
      </w:r>
    </w:p>
    <w:p w14:paraId="130B9525" w14:textId="77777777" w:rsidR="00F8236B" w:rsidRPr="002C272D"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Are there SDOs, other than ITU-T, developing recognized recommendations on regulatory and policy aspects of the telecommunications/ICT sector? Specify internal structure, methods of work, time to publish and relate, if it is the case, to the inquires of question 3.</w:t>
      </w:r>
    </w:p>
    <w:p w14:paraId="3E6561B7" w14:textId="77777777" w:rsidR="00F8236B" w:rsidRPr="002C272D"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Is the Telecommunication Development Sector with assistance from the Standardization Sector best suited to implement the BSG work and keep developing countries informed on new and emerging technologies?</w:t>
      </w:r>
    </w:p>
    <w:p w14:paraId="526288F0" w14:textId="77777777" w:rsidR="00F8236B" w:rsidRPr="002C272D"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Should ITU-T consider providing guidance on the adoption and use of emerging technologies and protocols (solutions) developed by other SDOs used to define end-to-end telecommunications/ICT solutions?</w:t>
      </w:r>
    </w:p>
    <w:p w14:paraId="292C48C3" w14:textId="77777777" w:rsidR="00F8236B"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 xml:space="preserve">Should ITU-T conduct gap analysis to identify standards developed by other SDOs on international telecommunication/ICTs that fail to address unique requirements and needs of ITU-T members? </w:t>
      </w:r>
    </w:p>
    <w:p w14:paraId="22F0380F" w14:textId="77777777" w:rsidR="00F8236B" w:rsidRPr="00BE0454" w:rsidRDefault="00F8236B" w:rsidP="004E169E">
      <w:pPr>
        <w:numPr>
          <w:ilvl w:val="0"/>
          <w:numId w:val="31"/>
        </w:numPr>
        <w:autoSpaceDE w:val="0"/>
        <w:autoSpaceDN w:val="0"/>
        <w:adjustRightInd w:val="0"/>
        <w:spacing w:before="120" w:after="0" w:line="240" w:lineRule="auto"/>
        <w:ind w:left="720"/>
        <w:jc w:val="both"/>
        <w:rPr>
          <w:rFonts w:eastAsia="Calibri" w:cstheme="minorHAnsi"/>
          <w:szCs w:val="24"/>
          <w:highlight w:val="yellow"/>
        </w:rPr>
      </w:pPr>
      <w:r w:rsidRPr="00BE0454">
        <w:rPr>
          <w:rFonts w:eastAsia="Calibri" w:cstheme="minorHAnsi"/>
          <w:szCs w:val="24"/>
          <w:highlight w:val="yellow"/>
        </w:rPr>
        <w:t>Do ITU-T’s study groups reflect the international nature of the activity</w:t>
      </w:r>
    </w:p>
    <w:p w14:paraId="74A35B68" w14:textId="77777777" w:rsidR="00F8236B" w:rsidRPr="00BE0454" w:rsidRDefault="00F8236B" w:rsidP="004E169E">
      <w:pPr>
        <w:pStyle w:val="ListParagraph"/>
        <w:numPr>
          <w:ilvl w:val="0"/>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t>number different members, sector members and associates have supported the introduction of new work, as shown in the A1 and A13 justification between [2000] to 2020?</w:t>
      </w:r>
    </w:p>
    <w:p w14:paraId="39F69B52" w14:textId="77777777" w:rsidR="00F8236B" w:rsidRPr="00BE0454" w:rsidRDefault="00F8236B" w:rsidP="004E169E">
      <w:pPr>
        <w:pStyle w:val="ListParagraph"/>
        <w:numPr>
          <w:ilvl w:val="1"/>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t>By country</w:t>
      </w:r>
    </w:p>
    <w:p w14:paraId="44B15A0D" w14:textId="77777777" w:rsidR="00F8236B" w:rsidRPr="00BE0454" w:rsidRDefault="00F8236B" w:rsidP="004E169E">
      <w:pPr>
        <w:pStyle w:val="ListParagraph"/>
        <w:numPr>
          <w:ilvl w:val="1"/>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t>By region</w:t>
      </w:r>
    </w:p>
    <w:p w14:paraId="62D88694" w14:textId="77777777" w:rsidR="00F8236B" w:rsidRPr="00BE0454" w:rsidRDefault="00F8236B" w:rsidP="004E169E">
      <w:pPr>
        <w:pStyle w:val="ListParagraph"/>
        <w:numPr>
          <w:ilvl w:val="0"/>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t xml:space="preserve">Number of supporters of work items </w:t>
      </w:r>
    </w:p>
    <w:p w14:paraId="27AFBE26" w14:textId="77777777" w:rsidR="00F8236B" w:rsidRPr="00BE0454" w:rsidRDefault="00F8236B" w:rsidP="004E169E">
      <w:pPr>
        <w:pStyle w:val="ListParagraph"/>
        <w:numPr>
          <w:ilvl w:val="1"/>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t xml:space="preserve">by country, </w:t>
      </w:r>
    </w:p>
    <w:p w14:paraId="1C1E7E3D" w14:textId="77777777" w:rsidR="00F8236B" w:rsidRPr="00BE0454" w:rsidRDefault="00F8236B" w:rsidP="004E169E">
      <w:pPr>
        <w:pStyle w:val="ListParagraph"/>
        <w:numPr>
          <w:ilvl w:val="1"/>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t>by membership sector</w:t>
      </w:r>
    </w:p>
    <w:p w14:paraId="58DDBA1C" w14:textId="77777777" w:rsidR="00F8236B" w:rsidRPr="00BE0454" w:rsidRDefault="00F8236B" w:rsidP="004E169E">
      <w:pPr>
        <w:pStyle w:val="ListParagraph"/>
        <w:numPr>
          <w:ilvl w:val="0"/>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t>Number of contributions to a work item from</w:t>
      </w:r>
    </w:p>
    <w:p w14:paraId="4D3996BE" w14:textId="77777777" w:rsidR="00F8236B" w:rsidRPr="00BE0454" w:rsidRDefault="00F8236B" w:rsidP="004E169E">
      <w:pPr>
        <w:pStyle w:val="ListParagraph"/>
        <w:numPr>
          <w:ilvl w:val="1"/>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t>Supporters</w:t>
      </w:r>
    </w:p>
    <w:p w14:paraId="3558D74F" w14:textId="77777777" w:rsidR="00F8236B" w:rsidRPr="00BE0454" w:rsidRDefault="00F8236B" w:rsidP="00BE0454">
      <w:pPr>
        <w:pStyle w:val="ListParagraph"/>
        <w:numPr>
          <w:ilvl w:val="1"/>
          <w:numId w:val="38"/>
        </w:numPr>
        <w:autoSpaceDE w:val="0"/>
        <w:autoSpaceDN w:val="0"/>
        <w:adjustRightInd w:val="0"/>
        <w:spacing w:before="120"/>
        <w:jc w:val="both"/>
        <w:rPr>
          <w:rFonts w:eastAsia="Calibri" w:cstheme="minorHAnsi"/>
          <w:szCs w:val="24"/>
          <w:highlight w:val="yellow"/>
        </w:rPr>
      </w:pPr>
      <w:r w:rsidRPr="00BE0454">
        <w:rPr>
          <w:rFonts w:eastAsia="Calibri" w:cstheme="minorHAnsi"/>
          <w:szCs w:val="24"/>
          <w:highlight w:val="yellow"/>
        </w:rPr>
        <w:lastRenderedPageBreak/>
        <w:t>others</w:t>
      </w:r>
    </w:p>
    <w:p w14:paraId="2C48B4D6" w14:textId="77777777" w:rsidR="00F8236B" w:rsidRPr="002C272D" w:rsidRDefault="00F8236B" w:rsidP="00816827">
      <w:pPr>
        <w:spacing w:line="240" w:lineRule="auto"/>
        <w:jc w:val="both"/>
        <w:rPr>
          <w:rFonts w:cstheme="minorHAnsi"/>
          <w:szCs w:val="24"/>
          <w:lang w:eastAsia="en-US"/>
        </w:rPr>
      </w:pPr>
    </w:p>
    <w:p w14:paraId="7C4E45FD" w14:textId="77777777" w:rsidR="00F8236B" w:rsidRPr="002C272D" w:rsidRDefault="00F8236B" w:rsidP="003D7BA3">
      <w:pPr>
        <w:spacing w:line="240" w:lineRule="auto"/>
        <w:jc w:val="both"/>
        <w:rPr>
          <w:rFonts w:cstheme="minorHAnsi"/>
          <w:szCs w:val="24"/>
          <w:lang w:eastAsia="en-US"/>
        </w:rPr>
      </w:pPr>
      <w:r w:rsidRPr="002C272D">
        <w:rPr>
          <w:rFonts w:cstheme="minorHAnsi"/>
          <w:szCs w:val="24"/>
          <w:lang w:eastAsia="en-US"/>
        </w:rPr>
        <w:t xml:space="preserve">The utility of an </w:t>
      </w:r>
      <w:r w:rsidRPr="002C272D">
        <w:rPr>
          <w:rFonts w:eastAsia="Calibri" w:cstheme="minorHAnsi"/>
          <w:szCs w:val="24"/>
        </w:rPr>
        <w:t>independent external consultant is that the data may be assembled in a manner that is independent of any single country or group thereof.  It is hoped that this would lead to universal trust by the membership during their analysis of the assembled data.</w:t>
      </w:r>
    </w:p>
    <w:p w14:paraId="5F8DD74C" w14:textId="77777777" w:rsidR="00F8236B" w:rsidRPr="002C272D" w:rsidRDefault="00F8236B" w:rsidP="003D7BA3">
      <w:pPr>
        <w:spacing w:line="240" w:lineRule="auto"/>
        <w:rPr>
          <w:rFonts w:cstheme="minorHAnsi"/>
          <w:szCs w:val="24"/>
        </w:rPr>
      </w:pPr>
      <w:r w:rsidRPr="002C272D">
        <w:rPr>
          <w:rFonts w:cstheme="minorHAnsi"/>
          <w:szCs w:val="24"/>
        </w:rPr>
        <w:t xml:space="preserve">The metrics that have been submitted raise fundamental questions over the work of the T Sector, and the extent to which these questions can be answered by the action plan will influence the structure of the study groups. Many of the questions and issues raised are </w:t>
      </w:r>
      <w:proofErr w:type="gramStart"/>
      <w:r w:rsidRPr="002C272D">
        <w:rPr>
          <w:rFonts w:cstheme="minorHAnsi"/>
          <w:szCs w:val="24"/>
        </w:rPr>
        <w:t>valid, and</w:t>
      </w:r>
      <w:proofErr w:type="gramEnd"/>
      <w:r w:rsidRPr="002C272D">
        <w:rPr>
          <w:rFonts w:cstheme="minorHAnsi"/>
          <w:szCs w:val="24"/>
        </w:rPr>
        <w:t xml:space="preserve"> are relevant in wider discussions than study group (re-)structuring.</w:t>
      </w:r>
    </w:p>
    <w:p w14:paraId="5F895EE4" w14:textId="77777777" w:rsidR="00F8236B" w:rsidRDefault="00F8236B">
      <w:pPr>
        <w:spacing w:line="240" w:lineRule="auto"/>
        <w:rPr>
          <w:rFonts w:cstheme="minorHAnsi"/>
          <w:szCs w:val="24"/>
        </w:rPr>
      </w:pPr>
      <w:r w:rsidRPr="002C272D">
        <w:rPr>
          <w:rFonts w:cstheme="minorHAnsi"/>
          <w:szCs w:val="24"/>
        </w:rPr>
        <w:t xml:space="preserve">In reviewing the metrics that should be considered in the action plan, there are two further areas that need to be covered as part of the analysis.  The first is the nature of the contributions that have been submitted to study groups.  The contributions are for certain purposes (discussion, proposal, information etc.) and for certain actions (new work items, proposing editorial changes and so on).  If contributions are to be used as part of the analysis undertaken by the action </w:t>
      </w:r>
      <w:proofErr w:type="gramStart"/>
      <w:r w:rsidRPr="002C272D">
        <w:rPr>
          <w:rFonts w:cstheme="minorHAnsi"/>
          <w:szCs w:val="24"/>
        </w:rPr>
        <w:t>plan</w:t>
      </w:r>
      <w:proofErr w:type="gramEnd"/>
      <w:r w:rsidRPr="002C272D">
        <w:rPr>
          <w:rFonts w:cstheme="minorHAnsi"/>
          <w:szCs w:val="24"/>
        </w:rPr>
        <w:t xml:space="preserve"> then greater granularity of their intention is required. </w:t>
      </w:r>
    </w:p>
    <w:p w14:paraId="340A3A54" w14:textId="77777777" w:rsidR="00F8236B" w:rsidRDefault="00F8236B">
      <w:pPr>
        <w:spacing w:line="240" w:lineRule="auto"/>
        <w:rPr>
          <w:rStyle w:val="jlqj4b"/>
        </w:rPr>
      </w:pPr>
      <w:r>
        <w:rPr>
          <w:rFonts w:cstheme="minorHAnsi"/>
          <w:szCs w:val="24"/>
        </w:rPr>
        <w:t>T</w:t>
      </w:r>
      <w:r w:rsidRPr="007A3EC4">
        <w:rPr>
          <w:rStyle w:val="jlqj4b"/>
        </w:rPr>
        <w:t xml:space="preserve">he action plan should guarantee the availability of </w:t>
      </w:r>
      <w:r>
        <w:rPr>
          <w:rStyle w:val="jlqj4b"/>
        </w:rPr>
        <w:t>data and indicators</w:t>
      </w:r>
      <w:r w:rsidRPr="007A3EC4">
        <w:rPr>
          <w:rStyle w:val="jlqj4b"/>
        </w:rPr>
        <w:t xml:space="preserve"> making it possible to propose a T-sector structure that carries value for its members while analysing the availability of their expertise for a better allocation</w:t>
      </w:r>
      <w:r>
        <w:rPr>
          <w:rStyle w:val="jlqj4b"/>
        </w:rPr>
        <w:t xml:space="preserve">. It should be complemented with an item investigating the support to a new work item and later contribution as it would give an insight into the current attractiveness of ITU-T work and the actual commitment to advance a work item </w:t>
      </w:r>
      <w:r w:rsidRPr="00BE0454">
        <w:rPr>
          <w:rStyle w:val="jlqj4b"/>
          <w:highlight w:val="green"/>
        </w:rPr>
        <w:t>(Editor’s note – Source France)</w:t>
      </w:r>
    </w:p>
    <w:p w14:paraId="076C78C5" w14:textId="77777777" w:rsidR="00F8236B" w:rsidRDefault="00F8236B">
      <w:pPr>
        <w:spacing w:line="240" w:lineRule="auto"/>
        <w:rPr>
          <w:rStyle w:val="jlqj4b"/>
        </w:rPr>
      </w:pPr>
      <w:r w:rsidRPr="007A3EC4">
        <w:rPr>
          <w:rStyle w:val="jlqj4b"/>
        </w:rPr>
        <w:t>The set of metrics should include items about the relation of ITU-T with other SDOs so to be able to differentiate itself and focus on core domains of expertise to deliver high-quality Recommendations. However, studying the relations of ITU-T with other SDOs in the restructuring process should not overlap with the work carried out in other Rapporteur Groups such as Strengthening Cooperation or Working Methods. It should aim at defining areas of work where the ITU-T can bring an added value in comparison with other SDOs activities</w:t>
      </w:r>
      <w:r>
        <w:rPr>
          <w:rStyle w:val="jlqj4b"/>
        </w:rPr>
        <w:t xml:space="preserve">. </w:t>
      </w:r>
      <w:r w:rsidRPr="00BE0454">
        <w:rPr>
          <w:rStyle w:val="jlqj4b"/>
          <w:highlight w:val="green"/>
        </w:rPr>
        <w:t>(Editor’s note – Source France)</w:t>
      </w:r>
    </w:p>
    <w:p w14:paraId="6761BF48" w14:textId="77777777" w:rsidR="00F8236B" w:rsidRDefault="00F8236B" w:rsidP="00574362">
      <w:pPr>
        <w:rPr>
          <w:color w:val="4E869E"/>
          <w:sz w:val="22"/>
          <w:lang w:val="en-US"/>
        </w:rPr>
      </w:pPr>
      <w:r>
        <w:rPr>
          <w:color w:val="4E869E"/>
          <w:lang w:val="en-US"/>
        </w:rPr>
        <w:t xml:space="preserve">We also would like to reinforce our view that a review of the working methods (as discussed on pg. 2 of the draft) is also complementary and instrumental to the discussions of restructuring as both relate to operational efficiency of the standardization sector.  An external review of both aspects will provide needed data to allow for a full analysis that will lead ITU-T members towards an optimized structure.   </w:t>
      </w:r>
      <w:r w:rsidRPr="00BE0454">
        <w:rPr>
          <w:color w:val="4E869E"/>
          <w:highlight w:val="green"/>
          <w:lang w:val="en-US"/>
        </w:rPr>
        <w:t>(Editor’s note – Source – USA)</w:t>
      </w:r>
    </w:p>
    <w:p w14:paraId="2BF42352" w14:textId="77777777" w:rsidR="00F8236B" w:rsidRPr="002C272D" w:rsidRDefault="00F8236B">
      <w:pPr>
        <w:spacing w:line="240" w:lineRule="auto"/>
        <w:rPr>
          <w:rFonts w:cstheme="minorHAnsi"/>
          <w:szCs w:val="24"/>
        </w:rPr>
      </w:pPr>
    </w:p>
    <w:p w14:paraId="4760254A" w14:textId="77777777" w:rsidR="00F8236B" w:rsidRPr="00BE0454" w:rsidRDefault="00F8236B" w:rsidP="00BE0454">
      <w:pPr>
        <w:autoSpaceDE w:val="0"/>
        <w:autoSpaceDN w:val="0"/>
        <w:adjustRightInd w:val="0"/>
        <w:spacing w:beforeLines="50" w:before="120" w:afterLines="50" w:after="120" w:line="240" w:lineRule="auto"/>
        <w:jc w:val="both"/>
        <w:rPr>
          <w:rFonts w:eastAsia="SimSun"/>
          <w:lang w:eastAsia="zh-CN"/>
        </w:rPr>
      </w:pPr>
      <w:r w:rsidRPr="00071504">
        <w:rPr>
          <w:rFonts w:eastAsia="Times New Roman" w:cstheme="minorHAnsi"/>
          <w:szCs w:val="24"/>
          <w:highlight w:val="green"/>
        </w:rPr>
        <w:t xml:space="preserve">(Editor’s note source from UK explanation document - </w:t>
      </w:r>
      <w:r w:rsidRPr="00071504">
        <w:rPr>
          <w:szCs w:val="24"/>
          <w:highlight w:val="green"/>
        </w:rPr>
        <w:t>This is an activity outside of the scope of the action plan and should be discussed after the action plan has been delivered.)</w:t>
      </w:r>
    </w:p>
    <w:p w14:paraId="4E8357C1" w14:textId="216E76A1" w:rsidR="00F8236B" w:rsidRPr="002C272D" w:rsidRDefault="00F8236B" w:rsidP="003D7BA3">
      <w:pPr>
        <w:pStyle w:val="ListParagraph"/>
        <w:numPr>
          <w:ilvl w:val="0"/>
          <w:numId w:val="36"/>
        </w:numPr>
        <w:spacing w:beforeLines="50" w:before="120" w:afterLines="50" w:after="120"/>
        <w:ind w:left="1080"/>
        <w:contextualSpacing/>
        <w:rPr>
          <w:lang w:eastAsia="zh-CN"/>
        </w:rPr>
      </w:pPr>
      <w:r w:rsidRPr="002C272D">
        <w:rPr>
          <w:lang w:eastAsia="zh-CN"/>
        </w:rPr>
        <w:t xml:space="preserve">The transparency, fairness, </w:t>
      </w:r>
      <w:proofErr w:type="gramStart"/>
      <w:r w:rsidRPr="002C272D">
        <w:rPr>
          <w:lang w:eastAsia="zh-CN"/>
        </w:rPr>
        <w:t>impartiality</w:t>
      </w:r>
      <w:proofErr w:type="gramEnd"/>
      <w:r w:rsidRPr="002C272D">
        <w:rPr>
          <w:lang w:eastAsia="zh-CN"/>
        </w:rPr>
        <w:t xml:space="preserve"> and objectivity should be ensured in conducting the </w:t>
      </w:r>
      <w:r w:rsidRPr="00BE0454">
        <w:rPr>
          <w:highlight w:val="yellow"/>
          <w:lang w:eastAsia="zh-CN"/>
        </w:rPr>
        <w:t>action plan as input into the</w:t>
      </w:r>
      <w:r>
        <w:rPr>
          <w:lang w:eastAsia="zh-CN"/>
        </w:rPr>
        <w:t xml:space="preserve"> </w:t>
      </w:r>
      <w:r w:rsidRPr="002C272D">
        <w:rPr>
          <w:lang w:eastAsia="zh-CN"/>
        </w:rPr>
        <w:t>ITU-T SG restructuring works.</w:t>
      </w:r>
    </w:p>
    <w:p w14:paraId="1FCA7915" w14:textId="77777777" w:rsidR="00F8236B" w:rsidRPr="002C272D" w:rsidRDefault="00F8236B" w:rsidP="003D7BA3">
      <w:pPr>
        <w:pStyle w:val="ListParagraph"/>
        <w:numPr>
          <w:ilvl w:val="0"/>
          <w:numId w:val="36"/>
        </w:numPr>
        <w:spacing w:beforeLines="50" w:before="120" w:afterLines="50" w:after="120"/>
        <w:ind w:left="1080"/>
        <w:contextualSpacing/>
        <w:rPr>
          <w:lang w:eastAsia="zh-CN"/>
        </w:rPr>
      </w:pPr>
      <w:r w:rsidRPr="002C272D">
        <w:rPr>
          <w:lang w:eastAsia="zh-CN"/>
        </w:rPr>
        <w:t xml:space="preserve">The problems existing in the current ITU-T SGs’ structure, which need and could be solved by restructuring, should be identified, collected and analyzed objectively in the order of priority and urgency. All problems, once identified, should be prioritized with a clear understanding that which are to be solved in near future and which can be addressed </w:t>
      </w:r>
      <w:proofErr w:type="gramStart"/>
      <w:r w:rsidRPr="002C272D">
        <w:rPr>
          <w:lang w:eastAsia="zh-CN"/>
        </w:rPr>
        <w:t>at a later time</w:t>
      </w:r>
      <w:proofErr w:type="gramEnd"/>
      <w:r w:rsidRPr="002C272D">
        <w:rPr>
          <w:lang w:eastAsia="zh-CN"/>
        </w:rPr>
        <w:t>.</w:t>
      </w:r>
    </w:p>
    <w:p w14:paraId="3593D8AC" w14:textId="77777777" w:rsidR="00F8236B" w:rsidRPr="002C272D" w:rsidRDefault="00F8236B" w:rsidP="003D7BA3">
      <w:pPr>
        <w:pStyle w:val="ListParagraph"/>
        <w:numPr>
          <w:ilvl w:val="0"/>
          <w:numId w:val="36"/>
        </w:numPr>
        <w:spacing w:beforeLines="50" w:before="120" w:afterLines="50" w:after="120"/>
        <w:ind w:left="1080"/>
        <w:contextualSpacing/>
        <w:rPr>
          <w:lang w:eastAsia="zh-CN"/>
        </w:rPr>
      </w:pPr>
      <w:r w:rsidRPr="002C272D">
        <w:rPr>
          <w:lang w:eastAsia="zh-CN"/>
        </w:rPr>
        <w:t xml:space="preserve">Following the objective-oriented and problem-driven methods, how to organize and implement a complete analysis based on the metrics data and all related information? To select an independent professional consultant for this task needs to take a careful consideration. </w:t>
      </w:r>
    </w:p>
    <w:p w14:paraId="03EC0140" w14:textId="77777777" w:rsidR="00F8236B" w:rsidRPr="002C272D" w:rsidRDefault="00F8236B" w:rsidP="003D7BA3">
      <w:pPr>
        <w:pStyle w:val="ListParagraph"/>
        <w:numPr>
          <w:ilvl w:val="0"/>
          <w:numId w:val="36"/>
        </w:numPr>
        <w:spacing w:beforeLines="50" w:before="120" w:afterLines="50" w:after="120"/>
        <w:ind w:left="1080"/>
        <w:contextualSpacing/>
        <w:rPr>
          <w:lang w:eastAsia="zh-CN"/>
        </w:rPr>
      </w:pPr>
      <w:r w:rsidRPr="002C272D">
        <w:rPr>
          <w:lang w:eastAsia="zh-CN"/>
        </w:rPr>
        <w:lastRenderedPageBreak/>
        <w:t xml:space="preserve">It is needed the clear scope, </w:t>
      </w:r>
      <w:proofErr w:type="gramStart"/>
      <w:r w:rsidRPr="002C272D">
        <w:rPr>
          <w:lang w:eastAsia="zh-CN"/>
        </w:rPr>
        <w:t>targets</w:t>
      </w:r>
      <w:proofErr w:type="gramEnd"/>
      <w:r w:rsidRPr="002C272D">
        <w:rPr>
          <w:lang w:eastAsia="zh-CN"/>
        </w:rPr>
        <w:t xml:space="preserve"> and time plan of CG of RG-WP. What are the expected proposals on ITU-T SG restructuring outputted from CG to RG-WP and TSAG? </w:t>
      </w:r>
    </w:p>
    <w:p w14:paraId="0FF8A1A9" w14:textId="77777777"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Options for restructuring</w:t>
      </w:r>
    </w:p>
    <w:p w14:paraId="505E86B8" w14:textId="210D73FF" w:rsidR="00F8236B" w:rsidRPr="002C272D" w:rsidRDefault="00F8236B" w:rsidP="003D7BA3">
      <w:pPr>
        <w:spacing w:line="240" w:lineRule="auto"/>
        <w:ind w:left="38"/>
        <w:rPr>
          <w:rFonts w:eastAsia="Times New Roman" w:cstheme="minorHAnsi"/>
          <w:szCs w:val="24"/>
        </w:rPr>
      </w:pPr>
      <w:r w:rsidRPr="009274B7">
        <w:rPr>
          <w:rFonts w:eastAsia="Times New Roman" w:cstheme="minorHAnsi"/>
          <w:szCs w:val="24"/>
          <w:highlight w:val="yellow"/>
        </w:rPr>
        <w:t>The</w:t>
      </w:r>
      <w:r w:rsidRPr="002C272D">
        <w:rPr>
          <w:rFonts w:eastAsia="Times New Roman" w:cstheme="minorHAnsi"/>
          <w:szCs w:val="24"/>
        </w:rPr>
        <w:t xml:space="preserve"> initial options </w:t>
      </w:r>
      <w:r w:rsidRPr="00BE0454">
        <w:rPr>
          <w:rFonts w:eastAsia="Times New Roman" w:cstheme="minorHAnsi"/>
          <w:szCs w:val="24"/>
          <w:highlight w:val="yellow"/>
        </w:rPr>
        <w:t>to</w:t>
      </w:r>
      <w:r>
        <w:rPr>
          <w:rFonts w:eastAsia="Times New Roman" w:cstheme="minorHAnsi"/>
          <w:szCs w:val="24"/>
        </w:rPr>
        <w:t xml:space="preserve"> </w:t>
      </w:r>
      <w:r w:rsidRPr="002C272D">
        <w:rPr>
          <w:rFonts w:eastAsia="Times New Roman" w:cstheme="minorHAnsi"/>
          <w:szCs w:val="24"/>
        </w:rPr>
        <w:t xml:space="preserve">be considered </w:t>
      </w:r>
      <w:r w:rsidRPr="00BE0454">
        <w:rPr>
          <w:rFonts w:eastAsia="Times New Roman" w:cstheme="minorHAnsi"/>
          <w:szCs w:val="24"/>
          <w:highlight w:val="yellow"/>
        </w:rPr>
        <w:t>by the action plan</w:t>
      </w:r>
      <w:r>
        <w:rPr>
          <w:rFonts w:eastAsia="Times New Roman" w:cstheme="minorHAnsi"/>
          <w:szCs w:val="24"/>
        </w:rPr>
        <w:t xml:space="preserve"> </w:t>
      </w:r>
      <w:r w:rsidRPr="002C272D">
        <w:rPr>
          <w:rFonts w:eastAsia="Times New Roman" w:cstheme="minorHAnsi"/>
          <w:szCs w:val="24"/>
        </w:rPr>
        <w:t>are listed in Annex 3. However, remain</w:t>
      </w:r>
      <w:r w:rsidRPr="00BE0454">
        <w:rPr>
          <w:rFonts w:eastAsia="Times New Roman" w:cstheme="minorHAnsi"/>
          <w:szCs w:val="24"/>
          <w:highlight w:val="yellow"/>
        </w:rPr>
        <w:t>s</w:t>
      </w:r>
      <w:r w:rsidRPr="002C272D">
        <w:rPr>
          <w:rFonts w:eastAsia="Times New Roman" w:cstheme="minorHAnsi"/>
          <w:szCs w:val="24"/>
        </w:rPr>
        <w:t xml:space="preserve"> open for other options as and when they arise in line with the CG action milestones, including future submissions</w:t>
      </w:r>
      <w:r>
        <w:rPr>
          <w:rFonts w:eastAsia="Times New Roman" w:cstheme="minorHAnsi"/>
          <w:szCs w:val="24"/>
        </w:rPr>
        <w:t xml:space="preserve"> </w:t>
      </w:r>
      <w:r w:rsidRPr="00BE0454">
        <w:rPr>
          <w:rFonts w:eastAsia="Times New Roman" w:cstheme="minorHAnsi"/>
          <w:szCs w:val="24"/>
          <w:highlight w:val="yellow"/>
        </w:rPr>
        <w:t xml:space="preserve">to be </w:t>
      </w:r>
      <w:proofErr w:type="gramStart"/>
      <w:r w:rsidRPr="00BE0454">
        <w:rPr>
          <w:rFonts w:eastAsia="Times New Roman" w:cstheme="minorHAnsi"/>
          <w:szCs w:val="24"/>
          <w:highlight w:val="yellow"/>
        </w:rPr>
        <w:t>identified</w:t>
      </w:r>
      <w:r>
        <w:rPr>
          <w:rFonts w:eastAsia="Times New Roman" w:cstheme="minorHAnsi"/>
          <w:szCs w:val="24"/>
        </w:rPr>
        <w:t xml:space="preserve"> </w:t>
      </w:r>
      <w:r w:rsidRPr="002C272D">
        <w:rPr>
          <w:rFonts w:eastAsia="Times New Roman" w:cstheme="minorHAnsi"/>
          <w:szCs w:val="24"/>
        </w:rPr>
        <w:t>.</w:t>
      </w:r>
      <w:proofErr w:type="gramEnd"/>
      <w:r w:rsidRPr="002C272D">
        <w:rPr>
          <w:rFonts w:eastAsia="Times New Roman" w:cstheme="minorHAnsi"/>
          <w:szCs w:val="24"/>
        </w:rPr>
        <w:t xml:space="preserve"> The</w:t>
      </w:r>
      <w:r>
        <w:rPr>
          <w:rFonts w:eastAsia="Times New Roman" w:cstheme="minorHAnsi"/>
          <w:szCs w:val="24"/>
        </w:rPr>
        <w:t xml:space="preserve"> </w:t>
      </w:r>
      <w:r w:rsidRPr="00BE0454">
        <w:rPr>
          <w:rFonts w:eastAsia="Times New Roman" w:cstheme="minorHAnsi"/>
          <w:szCs w:val="24"/>
          <w:highlight w:val="yellow"/>
        </w:rPr>
        <w:t xml:space="preserve">initial range of options </w:t>
      </w:r>
      <w:r w:rsidRPr="002C272D">
        <w:rPr>
          <w:rFonts w:eastAsia="Times New Roman" w:cstheme="minorHAnsi"/>
          <w:szCs w:val="24"/>
        </w:rPr>
        <w:t>can range from do nothing to a radical overall of the current ITU-T study group structure.</w:t>
      </w:r>
    </w:p>
    <w:p w14:paraId="612CEEA9" w14:textId="77777777" w:rsidR="00F8236B" w:rsidRPr="002C272D" w:rsidRDefault="00F8236B" w:rsidP="003D7BA3">
      <w:pPr>
        <w:spacing w:line="240" w:lineRule="auto"/>
        <w:ind w:left="38"/>
        <w:rPr>
          <w:rFonts w:cstheme="minorHAnsi"/>
          <w:szCs w:val="24"/>
        </w:rPr>
      </w:pPr>
      <w:r w:rsidRPr="002C272D">
        <w:rPr>
          <w:rFonts w:cstheme="minorHAnsi"/>
          <w:szCs w:val="24"/>
        </w:rPr>
        <w:t xml:space="preserve">There have already been submissions previously to past TSAG meetings throughout 2020 on options for study group restructuring at WTSA 20.  These submissions should be specifically included in the action plan.  It should not be part of the action plan to decide which option should or should not be included but to treat each option fairly and equitably.  </w:t>
      </w:r>
    </w:p>
    <w:p w14:paraId="2D73BCE6" w14:textId="77777777"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Application of the information to the Analysis</w:t>
      </w:r>
    </w:p>
    <w:p w14:paraId="4C229EE4" w14:textId="3C45BA96" w:rsidR="00F8236B" w:rsidRPr="00BE0454" w:rsidRDefault="00F8236B" w:rsidP="00DE75E9">
      <w:pPr>
        <w:spacing w:line="240" w:lineRule="auto"/>
        <w:ind w:left="38"/>
        <w:jc w:val="both"/>
        <w:rPr>
          <w:rFonts w:eastAsia="Calibri" w:cstheme="minorHAnsi"/>
          <w:szCs w:val="24"/>
          <w:highlight w:val="yellow"/>
        </w:rPr>
      </w:pPr>
      <w:r w:rsidRPr="00BE0454">
        <w:rPr>
          <w:rFonts w:eastAsia="Calibri" w:cstheme="minorHAnsi"/>
          <w:szCs w:val="24"/>
          <w:highlight w:val="yellow"/>
        </w:rPr>
        <w:t xml:space="preserve">The members of TSAG have the ultimate responsibility to </w:t>
      </w:r>
      <w:proofErr w:type="gramStart"/>
      <w:r w:rsidRPr="00BE0454">
        <w:rPr>
          <w:rFonts w:eastAsia="Calibri" w:cstheme="minorHAnsi"/>
          <w:szCs w:val="24"/>
          <w:highlight w:val="yellow"/>
        </w:rPr>
        <w:t>manage, and</w:t>
      </w:r>
      <w:proofErr w:type="gramEnd"/>
      <w:r w:rsidRPr="00BE0454">
        <w:rPr>
          <w:rFonts w:eastAsia="Calibri" w:cstheme="minorHAnsi"/>
          <w:szCs w:val="24"/>
          <w:highlight w:val="yellow"/>
        </w:rPr>
        <w:t xml:space="preserve"> review the output of the action plan</w:t>
      </w:r>
      <w:r w:rsidRPr="002C272D">
        <w:rPr>
          <w:rFonts w:eastAsia="Calibri" w:cstheme="minorHAnsi"/>
          <w:szCs w:val="24"/>
        </w:rPr>
        <w:t>.  TSAG should prepare a report and recommendations for presentation to Council for further action and consideration and submit a report to WTSA-24.</w:t>
      </w:r>
      <w:r>
        <w:rPr>
          <w:rFonts w:eastAsia="Calibri" w:cstheme="minorHAnsi"/>
          <w:szCs w:val="24"/>
        </w:rPr>
        <w:t xml:space="preserve"> </w:t>
      </w:r>
      <w:r w:rsidRPr="00BE0454">
        <w:rPr>
          <w:rFonts w:eastAsia="Calibri" w:cstheme="minorHAnsi"/>
          <w:szCs w:val="24"/>
          <w:highlight w:val="yellow"/>
        </w:rPr>
        <w:t xml:space="preserve">That said Members can </w:t>
      </w:r>
      <w:proofErr w:type="gramStart"/>
      <w:r w:rsidRPr="00BE0454">
        <w:rPr>
          <w:rFonts w:eastAsia="Calibri" w:cstheme="minorHAnsi"/>
          <w:szCs w:val="24"/>
          <w:highlight w:val="yellow"/>
        </w:rPr>
        <w:t>use( or</w:t>
      </w:r>
      <w:proofErr w:type="gramEnd"/>
      <w:r w:rsidRPr="00BE0454">
        <w:rPr>
          <w:rFonts w:eastAsia="Calibri" w:cstheme="minorHAnsi"/>
          <w:szCs w:val="24"/>
          <w:highlight w:val="yellow"/>
        </w:rPr>
        <w:t xml:space="preserve"> not) the output of the action plan as they wish ahead of any consideration by WTSA on a decision for restructuring the ITU-T study groups.  </w:t>
      </w:r>
    </w:p>
    <w:p w14:paraId="67367AC6" w14:textId="77777777" w:rsidR="00F8236B" w:rsidRPr="002C272D" w:rsidRDefault="00F8236B" w:rsidP="00DE75E9">
      <w:pPr>
        <w:spacing w:line="240" w:lineRule="auto"/>
        <w:ind w:left="38"/>
        <w:jc w:val="both"/>
        <w:rPr>
          <w:rFonts w:cstheme="minorHAnsi"/>
          <w:szCs w:val="24"/>
        </w:rPr>
      </w:pPr>
      <w:r w:rsidRPr="00BE0454">
        <w:rPr>
          <w:rFonts w:eastAsia="Calibri" w:cstheme="minorHAnsi"/>
          <w:szCs w:val="24"/>
          <w:highlight w:val="yellow"/>
        </w:rPr>
        <w:t>An independent consultant should be employed to perform the necessary comparison of alternatives, using the metrics outlined in Clause 4</w:t>
      </w:r>
    </w:p>
    <w:p w14:paraId="3010F7FD" w14:textId="77777777" w:rsidR="00F8236B" w:rsidRPr="002C272D" w:rsidRDefault="00F8236B" w:rsidP="003D7BA3">
      <w:pPr>
        <w:spacing w:line="240" w:lineRule="auto"/>
        <w:ind w:left="38"/>
        <w:rPr>
          <w:rFonts w:cstheme="minorHAnsi"/>
          <w:color w:val="4472C4" w:themeColor="accent1"/>
          <w:szCs w:val="24"/>
        </w:rPr>
      </w:pPr>
      <w:r w:rsidRPr="002C272D">
        <w:rPr>
          <w:rFonts w:cstheme="minorHAnsi"/>
          <w:szCs w:val="24"/>
        </w:rPr>
        <w:t>The standardization sector [should] carefully consider and work on taking the opinions of the study groups, regional study groups and TSB members in taking their current and future proposals by conducting an analytical study that shows the extent of benefit from the change.</w:t>
      </w:r>
    </w:p>
    <w:p w14:paraId="16067AA2" w14:textId="3A886751" w:rsidR="00F8236B" w:rsidRPr="002C272D" w:rsidRDefault="00F8236B" w:rsidP="003D7BA3">
      <w:pPr>
        <w:spacing w:line="240" w:lineRule="auto"/>
        <w:ind w:left="38"/>
        <w:rPr>
          <w:rFonts w:cstheme="minorHAnsi"/>
          <w:szCs w:val="24"/>
        </w:rPr>
      </w:pPr>
      <w:r w:rsidRPr="002C272D">
        <w:rPr>
          <w:rFonts w:cstheme="minorHAnsi"/>
          <w:szCs w:val="24"/>
        </w:rPr>
        <w:t xml:space="preserve">The following </w:t>
      </w:r>
      <w:r w:rsidRPr="00BE0454">
        <w:rPr>
          <w:rFonts w:cstheme="minorHAnsi"/>
          <w:szCs w:val="24"/>
          <w:highlight w:val="yellow"/>
        </w:rPr>
        <w:t xml:space="preserve">questions </w:t>
      </w:r>
      <w:proofErr w:type="gramStart"/>
      <w:r w:rsidRPr="00BE0454">
        <w:rPr>
          <w:rFonts w:cstheme="minorHAnsi"/>
          <w:szCs w:val="24"/>
          <w:highlight w:val="yellow"/>
        </w:rPr>
        <w:t xml:space="preserve">should </w:t>
      </w:r>
      <w:r w:rsidRPr="002C272D">
        <w:rPr>
          <w:rFonts w:cstheme="minorHAnsi"/>
          <w:szCs w:val="24"/>
        </w:rPr>
        <w:t xml:space="preserve"> be</w:t>
      </w:r>
      <w:proofErr w:type="gramEnd"/>
      <w:r w:rsidRPr="002C272D">
        <w:rPr>
          <w:rFonts w:cstheme="minorHAnsi"/>
          <w:szCs w:val="24"/>
        </w:rPr>
        <w:t xml:space="preserve"> </w:t>
      </w:r>
      <w:r w:rsidRPr="00BE0454">
        <w:rPr>
          <w:rFonts w:cstheme="minorHAnsi"/>
          <w:szCs w:val="24"/>
          <w:highlight w:val="yellow"/>
        </w:rPr>
        <w:t>answered by</w:t>
      </w:r>
      <w:r w:rsidRPr="002C272D">
        <w:rPr>
          <w:rFonts w:cstheme="minorHAnsi"/>
          <w:szCs w:val="24"/>
        </w:rPr>
        <w:t xml:space="preserve"> the </w:t>
      </w:r>
      <w:r w:rsidRPr="00BE0454">
        <w:rPr>
          <w:rFonts w:cstheme="minorHAnsi"/>
          <w:szCs w:val="24"/>
          <w:highlight w:val="yellow"/>
        </w:rPr>
        <w:t>action plan</w:t>
      </w:r>
      <w:r w:rsidRPr="002C272D">
        <w:rPr>
          <w:rFonts w:cstheme="minorHAnsi"/>
          <w:szCs w:val="24"/>
        </w:rPr>
        <w:t>:</w:t>
      </w:r>
    </w:p>
    <w:p w14:paraId="119B448A" w14:textId="77777777"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Analytical study of restructure options and looking at ensuring the sustainability of study groups and raising future productivity in extracting the required recommendations and standards faster than the current situation. The study should evaluate all possible restructure options and not to be limited options listed in TD995R1.</w:t>
      </w:r>
    </w:p>
    <w:p w14:paraId="0CA111A4" w14:textId="77777777"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Does the current structure and work program of the ITU-T Study Groups meet the current and future industry demand? If no, what actions are needed?</w:t>
      </w:r>
    </w:p>
    <w:p w14:paraId="1A2E7A33" w14:textId="77777777"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Do ITU-T Study Groups work collaboratively and complement each other to develop joint outputs? How can enhance the complement work (one ITU-T)?</w:t>
      </w:r>
    </w:p>
    <w:p w14:paraId="0412C428" w14:textId="77777777"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Analyzing the impact on financial and human resources of all restructure options and the extent of benefiting from the change by reducing the financial and human resources from the standardization sector</w:t>
      </w:r>
    </w:p>
    <w:p w14:paraId="5EFBECE6" w14:textId="1DF0607A"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 xml:space="preserve">What are the impacts of each </w:t>
      </w:r>
      <w:r w:rsidRPr="00BE0454">
        <w:rPr>
          <w:rFonts w:cstheme="minorHAnsi"/>
          <w:sz w:val="24"/>
          <w:szCs w:val="24"/>
          <w:highlight w:val="yellow"/>
        </w:rPr>
        <w:t>restructuring option</w:t>
      </w:r>
      <w:r w:rsidRPr="002C272D">
        <w:rPr>
          <w:rFonts w:cstheme="minorHAnsi"/>
          <w:sz w:val="24"/>
          <w:szCs w:val="24"/>
        </w:rPr>
        <w:t xml:space="preserve"> in terms of financial and human </w:t>
      </w:r>
      <w:proofErr w:type="gramStart"/>
      <w:r w:rsidRPr="002C272D">
        <w:rPr>
          <w:rFonts w:cstheme="minorHAnsi"/>
          <w:sz w:val="24"/>
          <w:szCs w:val="24"/>
        </w:rPr>
        <w:t>resources</w:t>
      </w:r>
      <w:proofErr w:type="gramEnd"/>
    </w:p>
    <w:p w14:paraId="01BC2081" w14:textId="77777777"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The advantages and disadvantages of all the proposals, especially when merging the study groups, in terms of balance between the capacity of each study groups and not increasing the current burden, also in terms of questions, meetings’ schedules and ensuring the sufficiency of the number of periodic meetings of the study groups.</w:t>
      </w:r>
    </w:p>
    <w:p w14:paraId="2937AC63" w14:textId="77777777"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What are the competitive advantages that ITU-T has?</w:t>
      </w:r>
    </w:p>
    <w:p w14:paraId="57DD1C4C" w14:textId="77777777"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How can ITU-T utilize these advantages?</w:t>
      </w:r>
    </w:p>
    <w:p w14:paraId="58936148" w14:textId="77777777"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Benchmarking study for other SDOs concerned with standards and benefiting from their experiences in group/function structures.</w:t>
      </w:r>
    </w:p>
    <w:p w14:paraId="2907E08C" w14:textId="77777777"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 xml:space="preserve">What are the commonalities and discrepancies among ITU-T, ISO, and IEC in terms of work structure and program, membership, and influence </w:t>
      </w:r>
      <w:proofErr w:type="gramStart"/>
      <w:r w:rsidRPr="002C272D">
        <w:rPr>
          <w:rFonts w:cstheme="minorHAnsi"/>
          <w:sz w:val="24"/>
          <w:szCs w:val="24"/>
        </w:rPr>
        <w:t>to</w:t>
      </w:r>
      <w:proofErr w:type="gramEnd"/>
      <w:r w:rsidRPr="002C272D">
        <w:rPr>
          <w:rFonts w:cstheme="minorHAnsi"/>
          <w:sz w:val="24"/>
          <w:szCs w:val="24"/>
        </w:rPr>
        <w:t xml:space="preserve"> the industry? </w:t>
      </w:r>
    </w:p>
    <w:p w14:paraId="2E3E2916" w14:textId="77777777"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lastRenderedPageBreak/>
        <w:t>How should ITU-T benefit from these commonalities/ discrepancies?</w:t>
      </w:r>
    </w:p>
    <w:p w14:paraId="21BAFCBF" w14:textId="77777777"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Study and analyze the impact of the proposals on the member’s participation in the activities.</w:t>
      </w:r>
    </w:p>
    <w:p w14:paraId="1D7EF75E" w14:textId="77777777"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 xml:space="preserve">What are the impacts of restructuring on participation, logistics’ </w:t>
      </w:r>
      <w:proofErr w:type="gramStart"/>
      <w:r w:rsidRPr="002C272D">
        <w:rPr>
          <w:rFonts w:cstheme="minorHAnsi"/>
          <w:sz w:val="24"/>
          <w:szCs w:val="24"/>
        </w:rPr>
        <w:t>management</w:t>
      </w:r>
      <w:proofErr w:type="gramEnd"/>
      <w:r w:rsidRPr="002C272D">
        <w:rPr>
          <w:rFonts w:cstheme="minorHAnsi"/>
          <w:sz w:val="24"/>
          <w:szCs w:val="24"/>
        </w:rPr>
        <w:t xml:space="preserve"> and electronic working methods, mainly in case of merging study groups?</w:t>
      </w:r>
    </w:p>
    <w:p w14:paraId="2AE48BAB" w14:textId="77777777" w:rsidR="00F8236B" w:rsidRPr="002C272D" w:rsidRDefault="00F8236B" w:rsidP="003D7BA3">
      <w:pPr>
        <w:spacing w:line="240" w:lineRule="auto"/>
        <w:ind w:left="426" w:hanging="426"/>
        <w:jc w:val="both"/>
        <w:rPr>
          <w:rFonts w:eastAsia="Calibri" w:cstheme="minorHAnsi"/>
          <w:szCs w:val="24"/>
        </w:rPr>
      </w:pPr>
    </w:p>
    <w:p w14:paraId="1CCEF3A5" w14:textId="77777777" w:rsidR="00F8236B" w:rsidRPr="002C272D" w:rsidRDefault="00F8236B" w:rsidP="003D7BA3">
      <w:pPr>
        <w:spacing w:line="240" w:lineRule="auto"/>
        <w:ind w:left="38"/>
        <w:rPr>
          <w:rFonts w:cstheme="minorHAnsi"/>
          <w:szCs w:val="24"/>
        </w:rPr>
      </w:pPr>
      <w:r w:rsidRPr="002C272D">
        <w:rPr>
          <w:rFonts w:cstheme="minorHAnsi"/>
          <w:szCs w:val="24"/>
        </w:rPr>
        <w:t>The analysis that is required should utilise the metrics that have been identified</w:t>
      </w:r>
      <w:r>
        <w:rPr>
          <w:rFonts w:cstheme="minorHAnsi"/>
          <w:szCs w:val="24"/>
        </w:rPr>
        <w:t xml:space="preserve"> </w:t>
      </w:r>
      <w:r w:rsidRPr="00BE0454">
        <w:rPr>
          <w:rFonts w:cstheme="minorHAnsi"/>
          <w:szCs w:val="24"/>
          <w:highlight w:val="yellow"/>
        </w:rPr>
        <w:t>to answer the above questions</w:t>
      </w:r>
      <w:r w:rsidRPr="002C272D">
        <w:rPr>
          <w:rFonts w:cstheme="minorHAnsi"/>
          <w:szCs w:val="24"/>
        </w:rPr>
        <w:t xml:space="preserve">.  Some of the questions submitted raise interesting questions that are worthy of further discussion in relation to the role of the ITU-T, the concern is whether there is sufficient time to have these questions as part of the restructuring, or whether there is a requirement for a more fundamental discussion.  If the latter is thought to by members to be the </w:t>
      </w:r>
      <w:proofErr w:type="gramStart"/>
      <w:r w:rsidRPr="002C272D">
        <w:rPr>
          <w:rFonts w:cstheme="minorHAnsi"/>
          <w:szCs w:val="24"/>
        </w:rPr>
        <w:t>case</w:t>
      </w:r>
      <w:proofErr w:type="gramEnd"/>
      <w:r w:rsidRPr="002C272D">
        <w:rPr>
          <w:rFonts w:cstheme="minorHAnsi"/>
          <w:szCs w:val="24"/>
        </w:rPr>
        <w:t xml:space="preserve"> then the work of the action plan can only be an interim step.  That is not to say that such an interim step is not </w:t>
      </w:r>
      <w:proofErr w:type="gramStart"/>
      <w:r w:rsidRPr="002C272D">
        <w:rPr>
          <w:rFonts w:cstheme="minorHAnsi"/>
          <w:szCs w:val="24"/>
        </w:rPr>
        <w:t>important</w:t>
      </w:r>
      <w:proofErr w:type="gramEnd"/>
      <w:r w:rsidRPr="002C272D">
        <w:rPr>
          <w:rFonts w:cstheme="minorHAnsi"/>
          <w:szCs w:val="24"/>
        </w:rPr>
        <w:t xml:space="preserve"> but it has to be recognised for what it is.</w:t>
      </w:r>
    </w:p>
    <w:p w14:paraId="4A65B039" w14:textId="77777777" w:rsidR="00F8236B" w:rsidRPr="002C272D" w:rsidRDefault="00F8236B" w:rsidP="003D7BA3">
      <w:pPr>
        <w:spacing w:line="240" w:lineRule="auto"/>
        <w:ind w:left="38"/>
        <w:rPr>
          <w:rFonts w:cstheme="minorHAnsi"/>
          <w:szCs w:val="24"/>
        </w:rPr>
      </w:pPr>
      <w:r w:rsidRPr="002C272D">
        <w:rPr>
          <w:rFonts w:cstheme="minorHAnsi"/>
          <w:szCs w:val="24"/>
        </w:rPr>
        <w:t>This is much more important issue than allowed for by the terms of reference for the correspondence group, but should be brought to the attention of the interim Rapporteur Group meeting</w:t>
      </w:r>
    </w:p>
    <w:p w14:paraId="3A2645C9" w14:textId="77777777" w:rsidR="00F8236B"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Process to undertake the analysis</w:t>
      </w:r>
    </w:p>
    <w:p w14:paraId="69500A02" w14:textId="77777777" w:rsidR="00F8236B" w:rsidRPr="00DE75E9" w:rsidRDefault="00F8236B" w:rsidP="00BE0454">
      <w:pPr>
        <w:pStyle w:val="CommentText"/>
        <w:rPr>
          <w:rFonts w:eastAsia="SimSun"/>
          <w:lang w:eastAsia="zh-CN"/>
        </w:rPr>
      </w:pPr>
      <w:r w:rsidRPr="00DE75E9">
        <w:rPr>
          <w:rFonts w:eastAsia="Times New Roman" w:cstheme="minorHAnsi"/>
          <w:sz w:val="24"/>
          <w:szCs w:val="24"/>
          <w:highlight w:val="green"/>
        </w:rPr>
        <w:t xml:space="preserve">(Editor’s note source from UK - </w:t>
      </w:r>
      <w:r w:rsidRPr="00BE0454">
        <w:rPr>
          <w:noProof/>
          <w:sz w:val="24"/>
          <w:szCs w:val="24"/>
          <w:highlight w:val="green"/>
        </w:rPr>
        <w:t>Would it be more appropriate to merge clause 6 with clause 7</w:t>
      </w:r>
      <w:r w:rsidRPr="00DE75E9">
        <w:rPr>
          <w:sz w:val="24"/>
          <w:szCs w:val="24"/>
          <w:highlight w:val="green"/>
        </w:rPr>
        <w:t>.</w:t>
      </w:r>
      <w:r w:rsidRPr="00BE0454">
        <w:rPr>
          <w:szCs w:val="24"/>
          <w:highlight w:val="green"/>
        </w:rPr>
        <w:t>)</w:t>
      </w:r>
    </w:p>
    <w:p w14:paraId="3E9CCE56" w14:textId="77777777" w:rsidR="00F8236B" w:rsidRPr="00BE0454" w:rsidRDefault="00F8236B" w:rsidP="00BE0454"/>
    <w:p w14:paraId="20A48A64" w14:textId="26B199A3" w:rsidR="00F8236B" w:rsidRPr="002C272D" w:rsidRDefault="00F8236B" w:rsidP="00EB3D9E">
      <w:pPr>
        <w:spacing w:after="0" w:line="240" w:lineRule="auto"/>
        <w:rPr>
          <w:rFonts w:eastAsia="Times New Roman" w:cstheme="minorHAnsi"/>
          <w:szCs w:val="24"/>
        </w:rPr>
      </w:pPr>
      <w:r w:rsidRPr="002C272D">
        <w:rPr>
          <w:rFonts w:eastAsia="Times New Roman" w:cstheme="minorHAnsi"/>
          <w:szCs w:val="24"/>
        </w:rPr>
        <w:t xml:space="preserve">There should be a number of options employed to assess each restructuring option including </w:t>
      </w:r>
      <w:proofErr w:type="gramStart"/>
      <w:r w:rsidRPr="002C272D">
        <w:rPr>
          <w:rFonts w:eastAsia="Times New Roman" w:cstheme="minorHAnsi"/>
          <w:szCs w:val="24"/>
        </w:rPr>
        <w:t>benchmarking;</w:t>
      </w:r>
      <w:proofErr w:type="gramEnd"/>
      <w:r w:rsidRPr="002C272D">
        <w:rPr>
          <w:rFonts w:eastAsia="Times New Roman" w:cstheme="minorHAnsi"/>
          <w:szCs w:val="24"/>
        </w:rPr>
        <w:t xml:space="preserve"> gap analysis, SWOT analysis and brainstorming workshops. </w:t>
      </w:r>
    </w:p>
    <w:p w14:paraId="25658E0C" w14:textId="24B54BD7" w:rsidR="00F8236B" w:rsidRPr="00BE0454" w:rsidRDefault="00F8236B">
      <w:pPr>
        <w:spacing w:before="240" w:after="0" w:line="240" w:lineRule="auto"/>
        <w:rPr>
          <w:rFonts w:eastAsia="Times New Roman" w:cstheme="minorHAnsi"/>
          <w:b/>
          <w:i/>
          <w:szCs w:val="24"/>
          <w:highlight w:val="green"/>
        </w:rPr>
      </w:pPr>
      <w:r w:rsidRPr="00BE0454">
        <w:rPr>
          <w:rFonts w:eastAsia="Times New Roman" w:cstheme="minorHAnsi"/>
          <w:b/>
          <w:szCs w:val="24"/>
          <w:highlight w:val="yellow"/>
        </w:rPr>
        <w:t>o</w:t>
      </w:r>
      <w:proofErr w:type="gramStart"/>
      <w:r w:rsidRPr="00BE0454">
        <w:rPr>
          <w:rFonts w:eastAsia="Times New Roman" w:cstheme="minorHAnsi"/>
          <w:b/>
          <w:szCs w:val="24"/>
          <w:highlight w:val="yellow"/>
        </w:rPr>
        <w:t xml:space="preserve">   </w:t>
      </w:r>
      <w:r w:rsidRPr="00DE75E9">
        <w:rPr>
          <w:rFonts w:eastAsia="Times New Roman" w:cstheme="minorHAnsi"/>
          <w:szCs w:val="24"/>
          <w:highlight w:val="green"/>
        </w:rPr>
        <w:t>(</w:t>
      </w:r>
      <w:proofErr w:type="gramEnd"/>
      <w:r w:rsidRPr="00DE75E9">
        <w:rPr>
          <w:rFonts w:eastAsia="Times New Roman" w:cstheme="minorHAnsi"/>
          <w:szCs w:val="24"/>
          <w:highlight w:val="green"/>
        </w:rPr>
        <w:t xml:space="preserve">Editor’s note source from UK </w:t>
      </w:r>
      <w:r w:rsidRPr="00BE0454">
        <w:rPr>
          <w:noProof/>
          <w:highlight w:val="green"/>
        </w:rPr>
        <w:t>It is not clear what information study groups could provide in a timely and efficient manner such that all views of a SG is reflected.</w:t>
      </w:r>
    </w:p>
    <w:p w14:paraId="44072B7D" w14:textId="5A2B3DB0" w:rsidR="00F8236B" w:rsidRPr="002C272D" w:rsidRDefault="00F8236B" w:rsidP="00BE0454">
      <w:pPr>
        <w:spacing w:before="240" w:after="0" w:line="240" w:lineRule="auto"/>
        <w:rPr>
          <w:rFonts w:eastAsia="Times New Roman" w:cstheme="minorHAnsi"/>
          <w:szCs w:val="24"/>
        </w:rPr>
      </w:pPr>
      <w:r w:rsidRPr="00BE0454">
        <w:rPr>
          <w:rFonts w:eastAsia="Times New Roman" w:cstheme="minorHAnsi"/>
          <w:szCs w:val="24"/>
          <w:highlight w:val="yellow"/>
        </w:rPr>
        <w:t>T</w:t>
      </w:r>
      <w:r w:rsidRPr="002C272D">
        <w:rPr>
          <w:rFonts w:eastAsia="Times New Roman" w:cstheme="minorHAnsi"/>
          <w:szCs w:val="24"/>
        </w:rPr>
        <w:t>he main responsible coordination point for the CG action plan should remain with TSAG. This will allow consideration of any external study by independent consultants that may be employed in the future to undertake the study of ITU-T study groups, and their possible restructure at WTSA 2024.</w:t>
      </w:r>
      <w:r w:rsidRPr="002C272D">
        <w:rPr>
          <w:rFonts w:eastAsia="Times New Roman" w:cstheme="minorHAnsi"/>
          <w:szCs w:val="24"/>
        </w:rPr>
        <w:tab/>
      </w:r>
    </w:p>
    <w:p w14:paraId="621C3F09" w14:textId="77777777" w:rsidR="00F8236B" w:rsidRPr="002C272D" w:rsidRDefault="00F8236B" w:rsidP="00EB3D9E">
      <w:pPr>
        <w:tabs>
          <w:tab w:val="left" w:pos="8335"/>
        </w:tabs>
        <w:spacing w:after="0" w:line="240" w:lineRule="auto"/>
        <w:ind w:left="113"/>
        <w:rPr>
          <w:rFonts w:cstheme="minorHAnsi"/>
          <w:szCs w:val="24"/>
        </w:rPr>
      </w:pPr>
    </w:p>
    <w:p w14:paraId="70AB3A4C" w14:textId="77777777" w:rsidR="00F8236B" w:rsidRDefault="00F8236B" w:rsidP="00EB3D9E">
      <w:pPr>
        <w:spacing w:after="0" w:line="240" w:lineRule="auto"/>
        <w:rPr>
          <w:rFonts w:cstheme="minorHAnsi"/>
          <w:szCs w:val="24"/>
          <w:lang w:eastAsia="en-US"/>
        </w:rPr>
      </w:pPr>
      <w:r w:rsidRPr="002C272D">
        <w:rPr>
          <w:rFonts w:cstheme="minorHAnsi"/>
          <w:szCs w:val="24"/>
          <w:lang w:eastAsia="en-US"/>
        </w:rPr>
        <w:t>The following process should be followed:</w:t>
      </w:r>
    </w:p>
    <w:p w14:paraId="73E86360" w14:textId="77777777" w:rsidR="00F8236B" w:rsidRPr="002C272D" w:rsidRDefault="00F8236B" w:rsidP="00EB3D9E">
      <w:pPr>
        <w:spacing w:after="0" w:line="240" w:lineRule="auto"/>
        <w:rPr>
          <w:rFonts w:cstheme="minorHAnsi"/>
          <w:szCs w:val="24"/>
          <w:lang w:eastAsia="en-US"/>
        </w:rPr>
      </w:pPr>
      <w:r w:rsidRPr="00BE0454">
        <w:rPr>
          <w:rFonts w:cstheme="minorHAnsi"/>
          <w:szCs w:val="24"/>
          <w:highlight w:val="green"/>
          <w:lang w:eastAsia="en-US"/>
        </w:rPr>
        <w:t xml:space="preserve">(Editor’s note source from UK </w:t>
      </w:r>
      <w:r w:rsidRPr="00BE0454">
        <w:rPr>
          <w:noProof/>
          <w:highlight w:val="green"/>
        </w:rPr>
        <w:t>This is a different time line to that presented in clause 7; which should be followed?)</w:t>
      </w:r>
    </w:p>
    <w:p w14:paraId="35395E20" w14:textId="77777777" w:rsidR="00F8236B" w:rsidRPr="002C272D" w:rsidRDefault="00F8236B" w:rsidP="003D7BA3">
      <w:pPr>
        <w:pStyle w:val="ListParagraph"/>
        <w:numPr>
          <w:ilvl w:val="0"/>
          <w:numId w:val="9"/>
        </w:numPr>
        <w:spacing w:before="120"/>
        <w:ind w:left="0" w:firstLine="0"/>
        <w:rPr>
          <w:rFonts w:cstheme="minorHAnsi"/>
          <w:sz w:val="24"/>
          <w:szCs w:val="24"/>
          <w:lang w:eastAsia="en-US"/>
        </w:rPr>
      </w:pPr>
      <w:r w:rsidRPr="002C272D">
        <w:rPr>
          <w:rFonts w:cstheme="minorHAnsi"/>
          <w:sz w:val="24"/>
          <w:szCs w:val="24"/>
          <w:lang w:eastAsia="en-US"/>
        </w:rPr>
        <w:t>TSAG RG-WP correspondence group prepares method for creating action plan</w:t>
      </w:r>
    </w:p>
    <w:p w14:paraId="74DCBC07" w14:textId="77777777" w:rsidR="00F8236B" w:rsidRPr="002C272D" w:rsidRDefault="00F8236B" w:rsidP="003D7BA3">
      <w:pPr>
        <w:pStyle w:val="ListParagraph"/>
        <w:numPr>
          <w:ilvl w:val="0"/>
          <w:numId w:val="9"/>
        </w:numPr>
        <w:spacing w:before="120"/>
        <w:ind w:left="0" w:firstLine="0"/>
        <w:rPr>
          <w:rFonts w:cstheme="minorHAnsi"/>
          <w:sz w:val="24"/>
          <w:szCs w:val="24"/>
          <w:lang w:eastAsia="en-US"/>
        </w:rPr>
      </w:pPr>
      <w:r w:rsidRPr="002C272D">
        <w:rPr>
          <w:rFonts w:cstheme="minorHAnsi"/>
          <w:sz w:val="24"/>
          <w:szCs w:val="24"/>
          <w:lang w:eastAsia="en-US"/>
        </w:rPr>
        <w:t>TSAG RG-WP approves method and proposes method to TSAG</w:t>
      </w:r>
    </w:p>
    <w:p w14:paraId="5326408B" w14:textId="77777777" w:rsidR="00F8236B" w:rsidRPr="002C272D" w:rsidRDefault="00F8236B" w:rsidP="003D7BA3">
      <w:pPr>
        <w:pStyle w:val="ListParagraph"/>
        <w:numPr>
          <w:ilvl w:val="0"/>
          <w:numId w:val="9"/>
        </w:numPr>
        <w:spacing w:before="120"/>
        <w:ind w:left="0" w:firstLine="0"/>
        <w:rPr>
          <w:rFonts w:cstheme="minorHAnsi"/>
          <w:sz w:val="24"/>
          <w:szCs w:val="24"/>
          <w:lang w:eastAsia="en-US"/>
        </w:rPr>
      </w:pPr>
      <w:r w:rsidRPr="002C272D">
        <w:rPr>
          <w:rFonts w:cstheme="minorHAnsi"/>
          <w:sz w:val="24"/>
          <w:szCs w:val="24"/>
          <w:lang w:eastAsia="en-US"/>
        </w:rPr>
        <w:t>TSAG [creates expert group | delegates RG-WP] to create action plan</w:t>
      </w:r>
    </w:p>
    <w:p w14:paraId="7D86F2D4" w14:textId="77777777" w:rsidR="00F8236B" w:rsidRPr="002C272D" w:rsidRDefault="00F8236B" w:rsidP="003D7BA3">
      <w:pPr>
        <w:pStyle w:val="ListParagraph"/>
        <w:numPr>
          <w:ilvl w:val="0"/>
          <w:numId w:val="9"/>
        </w:numPr>
        <w:spacing w:before="120"/>
        <w:ind w:left="0" w:firstLine="0"/>
        <w:rPr>
          <w:rFonts w:cstheme="minorHAnsi"/>
          <w:sz w:val="24"/>
          <w:szCs w:val="24"/>
          <w:lang w:eastAsia="en-US"/>
        </w:rPr>
      </w:pPr>
      <w:r w:rsidRPr="002C272D">
        <w:rPr>
          <w:rFonts w:cstheme="minorHAnsi"/>
          <w:sz w:val="24"/>
          <w:szCs w:val="24"/>
          <w:lang w:eastAsia="en-US"/>
        </w:rPr>
        <w:t>Group identified by TSAG creates the list of questions to be answered by an independent consultant</w:t>
      </w:r>
    </w:p>
    <w:p w14:paraId="3D1EA328" w14:textId="77777777"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cstheme="minorHAnsi"/>
          <w:sz w:val="24"/>
          <w:szCs w:val="24"/>
          <w:lang w:eastAsia="en-US"/>
        </w:rPr>
        <w:t>TSAG approves action plan at its January 2022 meeting and reports to WTSA-20 with proposed list of questions and asks WTSA-20 to request Council to appoint an independent consultant</w:t>
      </w:r>
    </w:p>
    <w:p w14:paraId="5B65FDFC" w14:textId="77777777"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cstheme="minorHAnsi"/>
          <w:sz w:val="24"/>
          <w:szCs w:val="24"/>
          <w:lang w:val="en-US" w:eastAsia="en-US"/>
        </w:rPr>
        <w:t>WTSA-20 approves list of questions and requests Council</w:t>
      </w:r>
      <w:r w:rsidRPr="002C272D">
        <w:rPr>
          <w:rFonts w:cstheme="minorHAnsi"/>
          <w:sz w:val="24"/>
          <w:szCs w:val="24"/>
          <w:lang w:eastAsia="en-US"/>
        </w:rPr>
        <w:t xml:space="preserve"> to appoint an independent external consultant within the budgetary constraints of the Union and directs the consultant to collect, compile and analyze metrics </w:t>
      </w:r>
      <w:proofErr w:type="gramStart"/>
      <w:r w:rsidRPr="002C272D">
        <w:rPr>
          <w:rFonts w:cstheme="minorHAnsi"/>
          <w:sz w:val="24"/>
          <w:szCs w:val="24"/>
          <w:lang w:eastAsia="en-US"/>
        </w:rPr>
        <w:t>in order to</w:t>
      </w:r>
      <w:proofErr w:type="gramEnd"/>
      <w:r w:rsidRPr="002C272D">
        <w:rPr>
          <w:rFonts w:cstheme="minorHAnsi"/>
          <w:sz w:val="24"/>
          <w:szCs w:val="24"/>
          <w:lang w:eastAsia="en-US"/>
        </w:rPr>
        <w:t xml:space="preserve"> address the questions identified by the responsible group identified by TSAG</w:t>
      </w:r>
    </w:p>
    <w:p w14:paraId="72CD9F2F" w14:textId="77777777"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cstheme="minorHAnsi"/>
          <w:sz w:val="24"/>
          <w:szCs w:val="24"/>
          <w:lang w:eastAsia="en-US"/>
        </w:rPr>
        <w:lastRenderedPageBreak/>
        <w:t xml:space="preserve">Council-22 agrees to engage the external consultant and Secretariat prepares and </w:t>
      </w:r>
      <w:proofErr w:type="gramStart"/>
      <w:r w:rsidRPr="002C272D">
        <w:rPr>
          <w:rFonts w:cstheme="minorHAnsi"/>
          <w:sz w:val="24"/>
          <w:szCs w:val="24"/>
          <w:lang w:eastAsia="en-US"/>
        </w:rPr>
        <w:t>tenders</w:t>
      </w:r>
      <w:proofErr w:type="gramEnd"/>
      <w:r w:rsidRPr="002C272D">
        <w:rPr>
          <w:rFonts w:cstheme="minorHAnsi"/>
          <w:sz w:val="24"/>
          <w:szCs w:val="24"/>
          <w:lang w:eastAsia="en-US"/>
        </w:rPr>
        <w:t xml:space="preserve"> request</w:t>
      </w:r>
    </w:p>
    <w:p w14:paraId="5560CAD4" w14:textId="77777777"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eastAsia="Calibri" w:cstheme="minorHAnsi"/>
          <w:sz w:val="24"/>
          <w:szCs w:val="24"/>
        </w:rPr>
        <w:t>Independent consultant presents a report with the relevant underlying data, methodologies and analysis and recommendations based on its findings to Council (and TSAG)</w:t>
      </w:r>
    </w:p>
    <w:p w14:paraId="7D52117C" w14:textId="77777777"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eastAsia="Calibri" w:cstheme="minorHAnsi"/>
          <w:sz w:val="24"/>
          <w:szCs w:val="24"/>
        </w:rPr>
        <w:t>TSAG reviews the report and recommendations for further action and consideration</w:t>
      </w:r>
    </w:p>
    <w:p w14:paraId="5075C685" w14:textId="77777777"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eastAsia="Calibri" w:cstheme="minorHAnsi"/>
          <w:sz w:val="24"/>
          <w:szCs w:val="24"/>
        </w:rPr>
        <w:t>TSAG reports recommendations to Council for further action and consideration</w:t>
      </w:r>
    </w:p>
    <w:p w14:paraId="514DBB8D" w14:textId="77777777"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eastAsia="Calibri" w:cstheme="minorHAnsi"/>
          <w:sz w:val="24"/>
          <w:szCs w:val="24"/>
        </w:rPr>
        <w:t>TSAG submits a report to WTSA-24 concerning a possible restructure of ITU-T.</w:t>
      </w:r>
    </w:p>
    <w:p w14:paraId="2E20E4E5" w14:textId="77777777" w:rsidR="00F8236B" w:rsidRPr="002C272D" w:rsidRDefault="00F8236B" w:rsidP="00EB3D9E">
      <w:pPr>
        <w:tabs>
          <w:tab w:val="left" w:pos="8335"/>
        </w:tabs>
        <w:spacing w:after="0" w:line="240" w:lineRule="auto"/>
        <w:ind w:left="113"/>
        <w:rPr>
          <w:rFonts w:cstheme="minorHAnsi"/>
          <w:szCs w:val="24"/>
        </w:rPr>
      </w:pPr>
      <w:r w:rsidRPr="002C272D">
        <w:rPr>
          <w:rFonts w:cstheme="minorHAnsi"/>
          <w:szCs w:val="24"/>
        </w:rPr>
        <w:tab/>
      </w:r>
    </w:p>
    <w:p w14:paraId="3EF9E269" w14:textId="77777777" w:rsidR="00F8236B" w:rsidRPr="00BE0454" w:rsidRDefault="00F8236B" w:rsidP="003D7BA3">
      <w:pPr>
        <w:bidi/>
        <w:spacing w:after="0" w:line="240" w:lineRule="auto"/>
        <w:jc w:val="right"/>
        <w:rPr>
          <w:rFonts w:cstheme="minorHAnsi"/>
          <w:szCs w:val="24"/>
          <w:lang w:bidi="ar-AE"/>
        </w:rPr>
      </w:pPr>
      <w:r w:rsidRPr="00BE0454">
        <w:rPr>
          <w:rFonts w:cstheme="minorHAnsi"/>
          <w:szCs w:val="24"/>
          <w:lang w:bidi="ar-AE"/>
        </w:rPr>
        <w:t xml:space="preserve">The following process should be carried out:  </w:t>
      </w:r>
    </w:p>
    <w:p w14:paraId="136F98FC" w14:textId="77777777" w:rsidR="00F8236B" w:rsidRPr="00BE0454" w:rsidRDefault="00F8236B" w:rsidP="003D7BA3">
      <w:pPr>
        <w:pStyle w:val="ListParagraph"/>
        <w:ind w:left="0"/>
        <w:rPr>
          <w:rFonts w:cstheme="minorHAnsi"/>
          <w:sz w:val="24"/>
          <w:szCs w:val="24"/>
          <w:lang w:bidi="ar-AE"/>
        </w:rPr>
      </w:pPr>
      <w:r w:rsidRPr="00BE0454">
        <w:rPr>
          <w:rFonts w:cstheme="minorHAnsi"/>
          <w:sz w:val="24"/>
          <w:szCs w:val="24"/>
          <w:highlight w:val="yellow"/>
          <w:lang w:bidi="ar-AE"/>
        </w:rPr>
        <w:t>[</w:t>
      </w:r>
      <w:r w:rsidRPr="00BE0454">
        <w:rPr>
          <w:rFonts w:cstheme="minorHAnsi"/>
          <w:sz w:val="24"/>
          <w:szCs w:val="24"/>
          <w:lang w:bidi="ar-AE"/>
        </w:rPr>
        <w:t xml:space="preserve">No change should be accrued in WTSA20, </w:t>
      </w:r>
      <w:r w:rsidRPr="00BE0454">
        <w:rPr>
          <w:rFonts w:cstheme="minorHAnsi"/>
          <w:sz w:val="24"/>
          <w:szCs w:val="24"/>
          <w:lang w:eastAsia="en-US"/>
        </w:rPr>
        <w:t xml:space="preserve">TSAG RG-WP </w:t>
      </w:r>
      <w:r w:rsidRPr="00BE0454">
        <w:rPr>
          <w:rFonts w:cstheme="minorHAnsi"/>
          <w:sz w:val="24"/>
          <w:szCs w:val="24"/>
        </w:rPr>
        <w:t>should prepare</w:t>
      </w:r>
      <w:r w:rsidRPr="00BE0454">
        <w:rPr>
          <w:rFonts w:cstheme="minorHAnsi"/>
          <w:sz w:val="24"/>
          <w:szCs w:val="24"/>
          <w:lang w:eastAsia="en-US"/>
        </w:rPr>
        <w:t xml:space="preserve"> a report and submit it to TSAG plenary in its October 2021 meeting</w:t>
      </w:r>
      <w:r w:rsidRPr="00BE0454">
        <w:rPr>
          <w:rFonts w:cstheme="minorHAnsi"/>
          <w:sz w:val="24"/>
          <w:szCs w:val="24"/>
        </w:rPr>
        <w:t>.</w:t>
      </w:r>
      <w:r w:rsidRPr="00BE0454">
        <w:rPr>
          <w:rFonts w:cstheme="minorHAnsi"/>
          <w:sz w:val="24"/>
          <w:szCs w:val="24"/>
          <w:lang w:eastAsia="en-US"/>
        </w:rPr>
        <w:t xml:space="preserve"> </w:t>
      </w:r>
      <w:r w:rsidRPr="00BE0454">
        <w:rPr>
          <w:rFonts w:cstheme="minorHAnsi"/>
          <w:sz w:val="24"/>
          <w:szCs w:val="24"/>
        </w:rPr>
        <w:t xml:space="preserve">In addition, </w:t>
      </w:r>
      <w:r w:rsidRPr="00BE0454">
        <w:rPr>
          <w:rFonts w:cstheme="minorHAnsi"/>
          <w:sz w:val="24"/>
          <w:szCs w:val="24"/>
          <w:lang w:bidi="ar-AE"/>
        </w:rPr>
        <w:t xml:space="preserve">TSAG is </w:t>
      </w:r>
      <w:r w:rsidRPr="00BE0454">
        <w:rPr>
          <w:rFonts w:eastAsia="Times New Roman" w:cstheme="minorHAnsi"/>
          <w:sz w:val="24"/>
          <w:szCs w:val="24"/>
        </w:rPr>
        <w:t xml:space="preserve">responsible </w:t>
      </w:r>
      <w:r w:rsidRPr="00BE0454">
        <w:rPr>
          <w:rFonts w:cstheme="minorHAnsi"/>
          <w:sz w:val="24"/>
          <w:szCs w:val="24"/>
          <w:lang w:bidi="ar-AE"/>
        </w:rPr>
        <w:t xml:space="preserve">to continue the discussion by staring the analytical study of the SG restructuring within period 2022 -2024 in collaboration with ITU membership together with ITU-T Bureau and its secretariats by providing statistics, </w:t>
      </w:r>
      <w:proofErr w:type="gramStart"/>
      <w:r w:rsidRPr="00BE0454">
        <w:rPr>
          <w:rFonts w:cstheme="minorHAnsi"/>
          <w:sz w:val="24"/>
          <w:szCs w:val="24"/>
          <w:lang w:bidi="ar-AE"/>
        </w:rPr>
        <w:t>reports</w:t>
      </w:r>
      <w:proofErr w:type="gramEnd"/>
      <w:r w:rsidRPr="00BE0454">
        <w:rPr>
          <w:rFonts w:cstheme="minorHAnsi"/>
          <w:sz w:val="24"/>
          <w:szCs w:val="24"/>
          <w:lang w:bidi="ar-AE"/>
        </w:rPr>
        <w:t xml:space="preserve"> and case studies to TSAG RG-WP meetings. Finally, all possible restructure options must be presented to WTSA2024.</w:t>
      </w:r>
      <w:r w:rsidRPr="00BE0454">
        <w:rPr>
          <w:rFonts w:cstheme="minorHAnsi"/>
          <w:sz w:val="24"/>
          <w:szCs w:val="24"/>
          <w:highlight w:val="yellow"/>
          <w:lang w:bidi="ar-AE"/>
        </w:rPr>
        <w:t>]</w:t>
      </w:r>
    </w:p>
    <w:p w14:paraId="3B4CAFEC" w14:textId="77777777"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Time scales for the action plan</w:t>
      </w:r>
    </w:p>
    <w:p w14:paraId="0805C94E" w14:textId="77777777" w:rsidR="00F8236B" w:rsidRPr="002C272D" w:rsidRDefault="00F8236B" w:rsidP="003D7BA3">
      <w:pPr>
        <w:spacing w:line="240" w:lineRule="auto"/>
        <w:rPr>
          <w:rFonts w:eastAsia="Times New Roman" w:cstheme="minorHAnsi"/>
          <w:szCs w:val="24"/>
        </w:rPr>
      </w:pPr>
      <w:r w:rsidRPr="002C272D">
        <w:rPr>
          <w:rFonts w:eastAsia="Times New Roman" w:cstheme="minorHAnsi"/>
          <w:szCs w:val="24"/>
        </w:rPr>
        <w:t>The timescale of the action plan would be dependent upon who was to be involved in the implementation, including external consultants.  TSAG, as the body responsible, should decide whether an external consultant will be considered to undertake activity within the action plan in parallel to the development by the CG of the action plan itself.  A decision as to whether an external consultant should be involved should be taken by the last TSAG of this study period (January 2022).</w:t>
      </w:r>
    </w:p>
    <w:p w14:paraId="61085D45" w14:textId="77777777"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 xml:space="preserve">As to the timescale of the action plan, any result of a study should be completed in advance of WTSA 2024, to allow consideration of the results of the study that has been undertaken. The process by which the study should be undertaken should be agreed by TSAG as soon as practicable after WTSA 20 (to be held in Q1/22) but certainly no later than Quarter 3 of 2022 </w:t>
      </w:r>
      <w:proofErr w:type="gramStart"/>
      <w:r w:rsidRPr="002C272D">
        <w:rPr>
          <w:rFonts w:eastAsia="Times New Roman" w:cstheme="minorHAnsi"/>
          <w:szCs w:val="24"/>
        </w:rPr>
        <w:t>in order to</w:t>
      </w:r>
      <w:proofErr w:type="gramEnd"/>
      <w:r w:rsidRPr="002C272D">
        <w:rPr>
          <w:rFonts w:eastAsia="Times New Roman" w:cstheme="minorHAnsi"/>
          <w:szCs w:val="24"/>
        </w:rPr>
        <w:t xml:space="preserve"> allow the maximum time possible for the analysis identified as a result of action plan by the CG.</w:t>
      </w:r>
    </w:p>
    <w:p w14:paraId="18EF1927" w14:textId="77777777" w:rsidR="00F8236B" w:rsidRPr="002C272D" w:rsidRDefault="00F8236B" w:rsidP="003D7BA3">
      <w:pPr>
        <w:spacing w:line="240" w:lineRule="auto"/>
        <w:jc w:val="both"/>
        <w:rPr>
          <w:rFonts w:cstheme="minorHAnsi"/>
          <w:szCs w:val="24"/>
          <w:lang w:eastAsia="en-US"/>
        </w:rPr>
      </w:pPr>
      <w:r w:rsidRPr="002C272D">
        <w:rPr>
          <w:rFonts w:cstheme="minorHAnsi"/>
          <w:szCs w:val="24"/>
          <w:lang w:eastAsia="en-US"/>
        </w:rPr>
        <w:t xml:space="preserve">TSAG, through its subtending bodies, should begin the process immediately, with an objective to agree upon a path forward at its October 2021 meeting. The preparation of the list of questions to be answered by an independent consultant should be completed in advance of the Council 2022 meeting </w:t>
      </w:r>
      <w:proofErr w:type="gramStart"/>
      <w:r w:rsidRPr="002C272D">
        <w:rPr>
          <w:rFonts w:cstheme="minorHAnsi"/>
          <w:szCs w:val="24"/>
          <w:lang w:eastAsia="en-US"/>
        </w:rPr>
        <w:t>so as to</w:t>
      </w:r>
      <w:proofErr w:type="gramEnd"/>
      <w:r w:rsidRPr="002C272D">
        <w:rPr>
          <w:rFonts w:cstheme="minorHAnsi"/>
          <w:szCs w:val="24"/>
          <w:lang w:eastAsia="en-US"/>
        </w:rPr>
        <w:t xml:space="preserve"> permit Council to initiate a contract. The consultant should report to Council 2023. TSAG should complete the review of the findings of the consultant and analysis resulting in a report to WTSA-24.  The timeline is indicated below.</w:t>
      </w:r>
    </w:p>
    <w:p w14:paraId="27A4B507" w14:textId="77777777" w:rsidR="00F8236B" w:rsidRPr="002C272D" w:rsidRDefault="00F8236B" w:rsidP="003D7BA3">
      <w:pPr>
        <w:spacing w:line="240" w:lineRule="auto"/>
        <w:jc w:val="center"/>
        <w:rPr>
          <w:rFonts w:cstheme="minorHAnsi"/>
          <w:szCs w:val="24"/>
          <w:lang w:eastAsia="en-US"/>
        </w:rPr>
      </w:pPr>
      <w:r w:rsidRPr="00BE0454">
        <w:rPr>
          <w:rFonts w:cstheme="minorHAnsi"/>
          <w:noProof/>
          <w:szCs w:val="24"/>
          <w:lang w:eastAsia="en-US"/>
        </w:rPr>
        <w:drawing>
          <wp:inline distT="0" distB="0" distL="0" distR="0" wp14:anchorId="07889208" wp14:editId="1D56E06D">
            <wp:extent cx="5731510" cy="230886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2308860"/>
                    </a:xfrm>
                    <a:prstGeom prst="rect">
                      <a:avLst/>
                    </a:prstGeom>
                    <a:noFill/>
                    <a:ln>
                      <a:noFill/>
                    </a:ln>
                  </pic:spPr>
                </pic:pic>
              </a:graphicData>
            </a:graphic>
          </wp:inline>
        </w:drawing>
      </w:r>
    </w:p>
    <w:p w14:paraId="74C1886F" w14:textId="77777777" w:rsidR="00F8236B" w:rsidRPr="002C272D" w:rsidRDefault="00F8236B" w:rsidP="003D7BA3">
      <w:pPr>
        <w:spacing w:line="240" w:lineRule="auto"/>
        <w:rPr>
          <w:rFonts w:cstheme="minorHAnsi"/>
          <w:szCs w:val="24"/>
        </w:rPr>
      </w:pPr>
      <w:r w:rsidRPr="002C272D">
        <w:rPr>
          <w:rFonts w:cstheme="minorHAnsi"/>
          <w:szCs w:val="24"/>
        </w:rPr>
        <w:lastRenderedPageBreak/>
        <w:t>[The action plan should occur between] WTSA20 – WTSA24.  [It should be noted that WTSA 20 is currently scheduled to occur in Q1 2022].</w:t>
      </w:r>
    </w:p>
    <w:p w14:paraId="3F9C01AF" w14:textId="77777777"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Options of leadership of the action plan</w:t>
      </w:r>
    </w:p>
    <w:p w14:paraId="5EF97E0C" w14:textId="77777777" w:rsidR="00F8236B" w:rsidRDefault="00F8236B" w:rsidP="003D7BA3">
      <w:pPr>
        <w:spacing w:line="240" w:lineRule="auto"/>
        <w:ind w:left="38"/>
        <w:rPr>
          <w:rFonts w:eastAsia="Times New Roman" w:cstheme="minorHAnsi"/>
          <w:szCs w:val="24"/>
        </w:rPr>
      </w:pPr>
      <w:r w:rsidRPr="00BE0454">
        <w:rPr>
          <w:rFonts w:eastAsia="Times New Roman" w:cstheme="minorHAnsi"/>
          <w:szCs w:val="24"/>
          <w:highlight w:val="yellow"/>
        </w:rPr>
        <w:t>The action plan should be undertaken by an independent consultant, or consultancy, reporting to</w:t>
      </w:r>
      <w:r w:rsidRPr="00F96193">
        <w:rPr>
          <w:rFonts w:eastAsia="Times New Roman" w:cstheme="minorHAnsi"/>
          <w:szCs w:val="24"/>
        </w:rPr>
        <w:t xml:space="preserve"> </w:t>
      </w:r>
      <w:r w:rsidRPr="002C272D">
        <w:rPr>
          <w:rFonts w:eastAsia="Times New Roman" w:cstheme="minorHAnsi"/>
          <w:szCs w:val="24"/>
        </w:rPr>
        <w:t>TSAG and TSAG rapporteur group on work programme and structure</w:t>
      </w:r>
      <w:r w:rsidRPr="00BE0454">
        <w:rPr>
          <w:rFonts w:eastAsia="Times New Roman" w:cstheme="minorHAnsi"/>
          <w:szCs w:val="24"/>
          <w:highlight w:val="yellow"/>
        </w:rPr>
        <w:t>, who in turn could provide guidance as part of the study</w:t>
      </w:r>
      <w:r w:rsidRPr="002C272D">
        <w:rPr>
          <w:rFonts w:eastAsia="Times New Roman" w:cstheme="minorHAnsi"/>
          <w:szCs w:val="24"/>
        </w:rPr>
        <w:t xml:space="preserve"> should be the primary vehicle for leading the work on the CG action plan on study group restructuring.</w:t>
      </w:r>
    </w:p>
    <w:p w14:paraId="24658CA5" w14:textId="77777777" w:rsidR="00F8236B" w:rsidRDefault="00F8236B" w:rsidP="003D7BA3">
      <w:pPr>
        <w:spacing w:line="240" w:lineRule="auto"/>
        <w:ind w:left="38"/>
        <w:rPr>
          <w:rStyle w:val="jlqj4b"/>
        </w:rPr>
      </w:pPr>
      <w:r w:rsidRPr="007A3EC4">
        <w:rPr>
          <w:rStyle w:val="jlqj4b"/>
        </w:rPr>
        <w:t>France</w:t>
      </w:r>
      <w:r>
        <w:rPr>
          <w:rStyle w:val="jlqj4b"/>
        </w:rPr>
        <w:t xml:space="preserve"> </w:t>
      </w:r>
      <w:r w:rsidRPr="007A3EC4">
        <w:rPr>
          <w:rStyle w:val="jlqj4b"/>
        </w:rPr>
        <w:t>prefers to use some external expertise</w:t>
      </w:r>
      <w:r>
        <w:rPr>
          <w:rStyle w:val="jlqj4b"/>
        </w:rPr>
        <w:t xml:space="preserve"> to carry out this analysis</w:t>
      </w:r>
      <w:r w:rsidRPr="007A3EC4">
        <w:rPr>
          <w:rStyle w:val="jlqj4b"/>
        </w:rPr>
        <w:t>, to the extent this solution is financially viable.</w:t>
      </w:r>
      <w:r w:rsidRPr="007A3EC4">
        <w:rPr>
          <w:rStyle w:val="viiyi"/>
        </w:rPr>
        <w:t xml:space="preserve"> </w:t>
      </w:r>
      <w:r w:rsidRPr="007A3EC4">
        <w:rPr>
          <w:rStyle w:val="jlqj4b"/>
        </w:rPr>
        <w:t>Indeed, it is not certain that ITU members will be able or available to do the required analytical work.</w:t>
      </w:r>
      <w:r w:rsidRPr="007A3EC4">
        <w:rPr>
          <w:rStyle w:val="viiyi"/>
        </w:rPr>
        <w:t xml:space="preserve"> </w:t>
      </w:r>
      <w:r w:rsidRPr="007A3EC4">
        <w:rPr>
          <w:rStyle w:val="jlqj4b"/>
        </w:rPr>
        <w:t xml:space="preserve">Moreover, some quality expectations as regards the outcome of the study, which may be transparency, fairness, </w:t>
      </w:r>
      <w:proofErr w:type="gramStart"/>
      <w:r w:rsidRPr="007A3EC4">
        <w:rPr>
          <w:rStyle w:val="jlqj4b"/>
        </w:rPr>
        <w:t>impartiality</w:t>
      </w:r>
      <w:proofErr w:type="gramEnd"/>
      <w:r w:rsidRPr="007A3EC4">
        <w:rPr>
          <w:rStyle w:val="jlqj4b"/>
        </w:rPr>
        <w:t xml:space="preserve"> and objectivity, can be best achieved using an independent external expertise, as ITU Members have their own view on the outcome of the process</w:t>
      </w:r>
      <w:r>
        <w:rPr>
          <w:rStyle w:val="jlqj4b"/>
        </w:rPr>
        <w:t xml:space="preserve">. </w:t>
      </w:r>
      <w:r w:rsidRPr="00BE0454">
        <w:rPr>
          <w:rStyle w:val="jlqj4b"/>
          <w:highlight w:val="green"/>
        </w:rPr>
        <w:t>(Editor’s note – Source France)</w:t>
      </w:r>
    </w:p>
    <w:p w14:paraId="66D15A33" w14:textId="77777777" w:rsidR="00F8236B" w:rsidRPr="002C272D" w:rsidRDefault="00F8236B" w:rsidP="003D7BA3">
      <w:pPr>
        <w:spacing w:line="240" w:lineRule="auto"/>
        <w:ind w:left="38"/>
        <w:rPr>
          <w:rFonts w:eastAsia="Times New Roman" w:cstheme="minorHAnsi"/>
          <w:szCs w:val="24"/>
        </w:rPr>
      </w:pPr>
      <w:r>
        <w:rPr>
          <w:rFonts w:eastAsia="Times New Roman"/>
          <w:color w:val="4E869E"/>
          <w:lang w:val="en-US"/>
        </w:rPr>
        <w:t xml:space="preserve">our view on the importance and utility of using an independent external consultant, so that the data may be assembled in a manner that is independent of any single country or group, as the draft well acknowledges. Inherent in the reliance on an independent consultant is the reliance upon such an expert to collect, compile and analyse metrics </w:t>
      </w:r>
      <w:proofErr w:type="gramStart"/>
      <w:r>
        <w:rPr>
          <w:rFonts w:eastAsia="Times New Roman"/>
          <w:color w:val="4E869E"/>
          <w:lang w:val="en-US"/>
        </w:rPr>
        <w:t>in order to</w:t>
      </w:r>
      <w:proofErr w:type="gramEnd"/>
      <w:r>
        <w:rPr>
          <w:rFonts w:eastAsia="Times New Roman"/>
          <w:color w:val="4E869E"/>
          <w:lang w:val="en-US"/>
        </w:rPr>
        <w:t xml:space="preserve"> address the questions.  Beyond the proposed Terms of Reference, it is not necessary, and may be counterproductive, for TSAG RG-WP to further specify the data to be collected, as doing so can bias the results. </w:t>
      </w:r>
      <w:r w:rsidRPr="00BE0454">
        <w:rPr>
          <w:rFonts w:eastAsia="Times New Roman"/>
          <w:color w:val="4E869E"/>
          <w:highlight w:val="green"/>
          <w:lang w:val="en-US"/>
        </w:rPr>
        <w:t>(Editor’s note – source USA)</w:t>
      </w:r>
    </w:p>
    <w:p w14:paraId="087E4294" w14:textId="77777777" w:rsidR="00F8236B" w:rsidRPr="002C272D" w:rsidRDefault="00F8236B" w:rsidP="003D7BA3">
      <w:pPr>
        <w:spacing w:line="240" w:lineRule="auto"/>
        <w:ind w:left="38"/>
        <w:rPr>
          <w:rFonts w:cstheme="minorHAnsi"/>
          <w:szCs w:val="24"/>
        </w:rPr>
      </w:pPr>
      <w:r w:rsidRPr="002C272D">
        <w:rPr>
          <w:rFonts w:cstheme="minorHAnsi"/>
          <w:szCs w:val="24"/>
        </w:rPr>
        <w:t xml:space="preserve">The activity must be supervised by TSAG in support with TSB director. </w:t>
      </w:r>
    </w:p>
    <w:p w14:paraId="6ECCD864" w14:textId="77777777"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Proposal</w:t>
      </w:r>
    </w:p>
    <w:p w14:paraId="4396701C" w14:textId="77777777" w:rsidR="00F8236B" w:rsidRPr="002C272D" w:rsidRDefault="00F8236B" w:rsidP="003D7BA3">
      <w:pPr>
        <w:spacing w:line="240" w:lineRule="auto"/>
        <w:jc w:val="both"/>
        <w:rPr>
          <w:rFonts w:cstheme="minorHAnsi"/>
          <w:szCs w:val="24"/>
        </w:rPr>
      </w:pPr>
      <w:r w:rsidRPr="002C272D">
        <w:rPr>
          <w:rFonts w:cstheme="minorHAnsi"/>
          <w:szCs w:val="24"/>
        </w:rPr>
        <w:t xml:space="preserve">It is proposed that TSAG consider utilizing the elements of the attached IAP as described within this contribution to </w:t>
      </w:r>
      <w:r w:rsidRPr="002C272D">
        <w:rPr>
          <w:rFonts w:cstheme="minorHAnsi"/>
          <w:color w:val="000000"/>
          <w:szCs w:val="24"/>
        </w:rPr>
        <w:t>initiate a thorough review process, based on empirical analysis, with a view to having a more effective, efficient, fit-for-purpose and inclusive ITU-T.</w:t>
      </w:r>
    </w:p>
    <w:p w14:paraId="7D57BEB4" w14:textId="77777777" w:rsidR="00F8236B" w:rsidRPr="002C272D" w:rsidRDefault="00F8236B">
      <w:pPr>
        <w:spacing w:line="240" w:lineRule="auto"/>
        <w:rPr>
          <w:rFonts w:cstheme="minorHAnsi"/>
          <w:szCs w:val="24"/>
        </w:rPr>
      </w:pPr>
      <w:r w:rsidRPr="002C272D">
        <w:rPr>
          <w:rFonts w:cstheme="minorHAnsi"/>
          <w:szCs w:val="24"/>
        </w:rPr>
        <w:t>TSAG [should] control of the study that is to be undertaken and implemented by the action plan.  Without prejudicing who would undertake such an activity the TSB [should] begin the process of identifying funding for the possible use of external resources.  There are many imponderables but that should not stop the process beginning in 2021.</w:t>
      </w:r>
    </w:p>
    <w:p w14:paraId="2A3C0C1C" w14:textId="77777777" w:rsidR="00F8236B" w:rsidRPr="002C272D" w:rsidRDefault="00F8236B" w:rsidP="003D7BA3">
      <w:pPr>
        <w:spacing w:line="240" w:lineRule="auto"/>
        <w:rPr>
          <w:rFonts w:cstheme="minorHAnsi"/>
          <w:szCs w:val="24"/>
        </w:rPr>
      </w:pPr>
      <w:r w:rsidRPr="002C272D">
        <w:rPr>
          <w:rFonts w:cstheme="minorHAnsi"/>
          <w:szCs w:val="24"/>
        </w:rPr>
        <w:t>Document History</w:t>
      </w:r>
    </w:p>
    <w:tbl>
      <w:tblPr>
        <w:tblW w:w="0" w:type="auto"/>
        <w:tblLook w:val="04A0" w:firstRow="1" w:lastRow="0" w:firstColumn="1" w:lastColumn="0" w:noHBand="0" w:noVBand="1"/>
      </w:tblPr>
      <w:tblGrid>
        <w:gridCol w:w="1132"/>
        <w:gridCol w:w="1273"/>
        <w:gridCol w:w="6611"/>
      </w:tblGrid>
      <w:tr w:rsidR="00F8236B" w:rsidRPr="002C272D" w14:paraId="17AB40D2" w14:textId="77777777" w:rsidTr="00BE0454">
        <w:tc>
          <w:tcPr>
            <w:tcW w:w="1132" w:type="dxa"/>
          </w:tcPr>
          <w:p w14:paraId="5CA94671" w14:textId="77777777" w:rsidR="00F8236B" w:rsidRPr="002C272D" w:rsidRDefault="00F8236B" w:rsidP="003D7BA3">
            <w:pPr>
              <w:spacing w:line="240" w:lineRule="auto"/>
              <w:rPr>
                <w:rFonts w:cstheme="minorHAnsi"/>
                <w:szCs w:val="24"/>
              </w:rPr>
            </w:pPr>
            <w:r w:rsidRPr="002C272D">
              <w:rPr>
                <w:rFonts w:cstheme="minorHAnsi"/>
                <w:szCs w:val="24"/>
              </w:rPr>
              <w:t>Date</w:t>
            </w:r>
          </w:p>
        </w:tc>
        <w:tc>
          <w:tcPr>
            <w:tcW w:w="1273" w:type="dxa"/>
          </w:tcPr>
          <w:p w14:paraId="650046B3" w14:textId="77777777" w:rsidR="00F8236B" w:rsidRPr="002C272D" w:rsidRDefault="00F8236B" w:rsidP="003D7BA3">
            <w:pPr>
              <w:spacing w:line="240" w:lineRule="auto"/>
              <w:rPr>
                <w:rFonts w:cstheme="minorHAnsi"/>
                <w:szCs w:val="24"/>
              </w:rPr>
            </w:pPr>
            <w:r w:rsidRPr="002C272D">
              <w:rPr>
                <w:rFonts w:cstheme="minorHAnsi"/>
                <w:szCs w:val="24"/>
              </w:rPr>
              <w:t>Status</w:t>
            </w:r>
          </w:p>
        </w:tc>
        <w:tc>
          <w:tcPr>
            <w:tcW w:w="6611" w:type="dxa"/>
          </w:tcPr>
          <w:p w14:paraId="56A51F36" w14:textId="77777777" w:rsidR="00F8236B" w:rsidRPr="002C272D" w:rsidRDefault="00F8236B" w:rsidP="003D7BA3">
            <w:pPr>
              <w:spacing w:line="240" w:lineRule="auto"/>
              <w:rPr>
                <w:rFonts w:cstheme="minorHAnsi"/>
                <w:szCs w:val="24"/>
              </w:rPr>
            </w:pPr>
            <w:r w:rsidRPr="002C272D">
              <w:rPr>
                <w:rFonts w:cstheme="minorHAnsi"/>
                <w:szCs w:val="24"/>
              </w:rPr>
              <w:t>Reason</w:t>
            </w:r>
          </w:p>
        </w:tc>
      </w:tr>
      <w:tr w:rsidR="00F8236B" w:rsidRPr="002C272D" w14:paraId="5C00051A" w14:textId="77777777" w:rsidTr="00BE0454">
        <w:tc>
          <w:tcPr>
            <w:tcW w:w="1132" w:type="dxa"/>
          </w:tcPr>
          <w:p w14:paraId="1FE288D7" w14:textId="77777777" w:rsidR="00F8236B" w:rsidRPr="002C272D" w:rsidRDefault="00F8236B" w:rsidP="00BE0454">
            <w:pPr>
              <w:spacing w:after="0" w:line="240" w:lineRule="auto"/>
              <w:rPr>
                <w:rFonts w:cstheme="minorHAnsi"/>
                <w:szCs w:val="24"/>
              </w:rPr>
            </w:pPr>
            <w:r w:rsidRPr="002C272D">
              <w:rPr>
                <w:rFonts w:cstheme="minorHAnsi"/>
                <w:szCs w:val="24"/>
              </w:rPr>
              <w:t>01/02/21</w:t>
            </w:r>
          </w:p>
        </w:tc>
        <w:tc>
          <w:tcPr>
            <w:tcW w:w="1273" w:type="dxa"/>
          </w:tcPr>
          <w:p w14:paraId="50A85DB2" w14:textId="77777777" w:rsidR="00F8236B" w:rsidRPr="002C272D" w:rsidRDefault="00F8236B" w:rsidP="00BE0454">
            <w:pPr>
              <w:spacing w:after="0" w:line="240" w:lineRule="auto"/>
              <w:rPr>
                <w:rFonts w:cstheme="minorHAnsi"/>
                <w:szCs w:val="24"/>
              </w:rPr>
            </w:pPr>
            <w:r w:rsidRPr="002C272D">
              <w:rPr>
                <w:rFonts w:cstheme="minorHAnsi"/>
                <w:szCs w:val="24"/>
              </w:rPr>
              <w:t>Draft A</w:t>
            </w:r>
          </w:p>
        </w:tc>
        <w:tc>
          <w:tcPr>
            <w:tcW w:w="6611" w:type="dxa"/>
          </w:tcPr>
          <w:p w14:paraId="661F5B57" w14:textId="77777777" w:rsidR="00F8236B" w:rsidRPr="002C272D" w:rsidRDefault="00F8236B" w:rsidP="00BE0454">
            <w:pPr>
              <w:spacing w:after="0" w:line="240" w:lineRule="auto"/>
              <w:rPr>
                <w:rFonts w:cstheme="minorHAnsi"/>
                <w:szCs w:val="24"/>
              </w:rPr>
            </w:pPr>
            <w:r w:rsidRPr="002C272D">
              <w:rPr>
                <w:rFonts w:cstheme="minorHAnsi"/>
                <w:szCs w:val="24"/>
              </w:rPr>
              <w:t>Initial structure</w:t>
            </w:r>
          </w:p>
        </w:tc>
      </w:tr>
      <w:tr w:rsidR="00F8236B" w:rsidRPr="002C272D" w14:paraId="608696A5" w14:textId="77777777" w:rsidTr="00BE0454">
        <w:tc>
          <w:tcPr>
            <w:tcW w:w="1132" w:type="dxa"/>
          </w:tcPr>
          <w:p w14:paraId="07D090E3" w14:textId="77777777" w:rsidR="00F8236B" w:rsidRPr="002C272D" w:rsidRDefault="00F8236B" w:rsidP="00BE0454">
            <w:pPr>
              <w:spacing w:after="0" w:line="240" w:lineRule="auto"/>
              <w:rPr>
                <w:rFonts w:cstheme="minorHAnsi"/>
                <w:szCs w:val="24"/>
              </w:rPr>
            </w:pPr>
            <w:r w:rsidRPr="002C272D">
              <w:rPr>
                <w:rFonts w:cstheme="minorHAnsi"/>
                <w:szCs w:val="24"/>
              </w:rPr>
              <w:t>15/02/21</w:t>
            </w:r>
          </w:p>
        </w:tc>
        <w:tc>
          <w:tcPr>
            <w:tcW w:w="1273" w:type="dxa"/>
          </w:tcPr>
          <w:p w14:paraId="67531128" w14:textId="77777777" w:rsidR="00F8236B" w:rsidRPr="002C272D" w:rsidRDefault="00F8236B" w:rsidP="00BE0454">
            <w:pPr>
              <w:spacing w:after="0" w:line="240" w:lineRule="auto"/>
              <w:rPr>
                <w:rFonts w:cstheme="minorHAnsi"/>
                <w:szCs w:val="24"/>
              </w:rPr>
            </w:pPr>
            <w:r w:rsidRPr="002C272D">
              <w:rPr>
                <w:rFonts w:cstheme="minorHAnsi"/>
                <w:szCs w:val="24"/>
              </w:rPr>
              <w:t>Draft B</w:t>
            </w:r>
          </w:p>
        </w:tc>
        <w:tc>
          <w:tcPr>
            <w:tcW w:w="6611" w:type="dxa"/>
          </w:tcPr>
          <w:p w14:paraId="78C60A50" w14:textId="77777777" w:rsidR="00F8236B" w:rsidRPr="002C272D" w:rsidRDefault="00F8236B" w:rsidP="00BE0454">
            <w:pPr>
              <w:spacing w:after="0" w:line="240" w:lineRule="auto"/>
              <w:rPr>
                <w:rFonts w:cstheme="minorHAnsi"/>
                <w:szCs w:val="24"/>
              </w:rPr>
            </w:pPr>
            <w:r w:rsidRPr="002C272D">
              <w:rPr>
                <w:rFonts w:cstheme="minorHAnsi"/>
                <w:szCs w:val="24"/>
              </w:rPr>
              <w:t>Amendments to initial structure of report and text added to the amended structure from the Contributions received from UK, USA and Canada and Arab Standardisation Team (AST)</w:t>
            </w:r>
          </w:p>
        </w:tc>
      </w:tr>
      <w:tr w:rsidR="00F8236B" w:rsidRPr="002C272D" w14:paraId="088FF1C8" w14:textId="77777777" w:rsidTr="00BE0454">
        <w:tc>
          <w:tcPr>
            <w:tcW w:w="1132" w:type="dxa"/>
          </w:tcPr>
          <w:p w14:paraId="264E3440" w14:textId="77777777" w:rsidR="00F8236B" w:rsidRPr="002C272D" w:rsidRDefault="00F8236B" w:rsidP="00BE0454">
            <w:pPr>
              <w:spacing w:after="0" w:line="240" w:lineRule="auto"/>
              <w:rPr>
                <w:rFonts w:cstheme="minorHAnsi"/>
                <w:szCs w:val="24"/>
              </w:rPr>
            </w:pPr>
            <w:r w:rsidRPr="002C272D">
              <w:rPr>
                <w:rFonts w:cstheme="minorHAnsi"/>
                <w:szCs w:val="24"/>
              </w:rPr>
              <w:t>25/03/21</w:t>
            </w:r>
          </w:p>
        </w:tc>
        <w:tc>
          <w:tcPr>
            <w:tcW w:w="1273" w:type="dxa"/>
          </w:tcPr>
          <w:p w14:paraId="21373BD7" w14:textId="77777777" w:rsidR="00F8236B" w:rsidRPr="002C272D" w:rsidRDefault="00F8236B" w:rsidP="00BE0454">
            <w:pPr>
              <w:spacing w:after="0" w:line="240" w:lineRule="auto"/>
              <w:rPr>
                <w:rFonts w:cstheme="minorHAnsi"/>
                <w:szCs w:val="24"/>
              </w:rPr>
            </w:pPr>
            <w:r w:rsidRPr="002C272D">
              <w:rPr>
                <w:rFonts w:cstheme="minorHAnsi"/>
                <w:szCs w:val="24"/>
              </w:rPr>
              <w:t>Draft C</w:t>
            </w:r>
          </w:p>
        </w:tc>
        <w:tc>
          <w:tcPr>
            <w:tcW w:w="6611" w:type="dxa"/>
          </w:tcPr>
          <w:p w14:paraId="5EFF709C" w14:textId="77777777" w:rsidR="00F8236B" w:rsidRPr="002C272D" w:rsidRDefault="00F8236B" w:rsidP="00BE0454">
            <w:pPr>
              <w:spacing w:after="0" w:line="240" w:lineRule="auto"/>
              <w:rPr>
                <w:rFonts w:cstheme="minorHAnsi"/>
                <w:szCs w:val="24"/>
              </w:rPr>
            </w:pPr>
            <w:r w:rsidRPr="002C272D">
              <w:rPr>
                <w:rFonts w:cstheme="minorHAnsi"/>
                <w:szCs w:val="24"/>
              </w:rPr>
              <w:t>Further amendments to Draft B of the report from UK and Arab Standardisation Team (AST)</w:t>
            </w:r>
          </w:p>
        </w:tc>
      </w:tr>
      <w:tr w:rsidR="00F8236B" w:rsidRPr="002C272D" w14:paraId="61FF1370" w14:textId="77777777" w:rsidTr="00BE0454">
        <w:tc>
          <w:tcPr>
            <w:tcW w:w="1132" w:type="dxa"/>
          </w:tcPr>
          <w:p w14:paraId="153B48B8" w14:textId="77777777" w:rsidR="00F8236B" w:rsidRPr="002C272D" w:rsidRDefault="00F8236B" w:rsidP="00BE0454">
            <w:pPr>
              <w:spacing w:after="0" w:line="240" w:lineRule="auto"/>
              <w:rPr>
                <w:rFonts w:cstheme="minorHAnsi"/>
                <w:szCs w:val="24"/>
              </w:rPr>
            </w:pPr>
            <w:r w:rsidRPr="002C272D">
              <w:rPr>
                <w:rFonts w:cstheme="minorHAnsi"/>
                <w:szCs w:val="24"/>
              </w:rPr>
              <w:t>30/04/21</w:t>
            </w:r>
          </w:p>
        </w:tc>
        <w:tc>
          <w:tcPr>
            <w:tcW w:w="1273" w:type="dxa"/>
          </w:tcPr>
          <w:p w14:paraId="1E618420" w14:textId="77777777" w:rsidR="00F8236B" w:rsidRPr="002C272D" w:rsidRDefault="00F8236B" w:rsidP="00BE0454">
            <w:pPr>
              <w:spacing w:after="0" w:line="240" w:lineRule="auto"/>
              <w:rPr>
                <w:rFonts w:cstheme="minorHAnsi"/>
                <w:szCs w:val="24"/>
              </w:rPr>
            </w:pPr>
            <w:r w:rsidRPr="002C272D">
              <w:rPr>
                <w:rFonts w:cstheme="minorHAnsi"/>
                <w:szCs w:val="24"/>
              </w:rPr>
              <w:t>Draft D</w:t>
            </w:r>
          </w:p>
        </w:tc>
        <w:tc>
          <w:tcPr>
            <w:tcW w:w="6611" w:type="dxa"/>
          </w:tcPr>
          <w:p w14:paraId="1E168BD4" w14:textId="77777777" w:rsidR="00F8236B" w:rsidRPr="002C272D" w:rsidRDefault="00F8236B" w:rsidP="00BE0454">
            <w:pPr>
              <w:spacing w:after="0" w:line="240" w:lineRule="auto"/>
              <w:rPr>
                <w:rFonts w:cstheme="minorHAnsi"/>
                <w:szCs w:val="24"/>
              </w:rPr>
            </w:pPr>
            <w:r w:rsidRPr="002C272D">
              <w:rPr>
                <w:rFonts w:cstheme="minorHAnsi"/>
                <w:szCs w:val="24"/>
              </w:rPr>
              <w:t xml:space="preserve">Text of contributions presented as an action plan presented in Clauses 2-9 and original combined contributions moved to Annex 4.  </w:t>
            </w:r>
            <w:r w:rsidRPr="002C272D">
              <w:rPr>
                <w:rFonts w:cstheme="minorHAnsi"/>
                <w:szCs w:val="24"/>
              </w:rPr>
              <w:br/>
              <w:t>Sections are numbered.</w:t>
            </w:r>
            <w:r w:rsidRPr="002C272D">
              <w:rPr>
                <w:rFonts w:cstheme="minorHAnsi"/>
                <w:szCs w:val="24"/>
              </w:rPr>
              <w:br/>
              <w:t>Background and introduction clauses edited.</w:t>
            </w:r>
          </w:p>
        </w:tc>
      </w:tr>
      <w:tr w:rsidR="00F8236B" w:rsidRPr="002C272D" w14:paraId="5E29DB33" w14:textId="77777777" w:rsidTr="00BE0454">
        <w:tc>
          <w:tcPr>
            <w:tcW w:w="1132" w:type="dxa"/>
          </w:tcPr>
          <w:p w14:paraId="11999E36" w14:textId="77777777" w:rsidR="00F8236B" w:rsidRPr="002C272D" w:rsidRDefault="00F8236B" w:rsidP="00BE0454">
            <w:pPr>
              <w:spacing w:after="0" w:line="240" w:lineRule="auto"/>
              <w:rPr>
                <w:rFonts w:cstheme="minorHAnsi"/>
                <w:szCs w:val="24"/>
              </w:rPr>
            </w:pPr>
            <w:r w:rsidRPr="002C272D">
              <w:rPr>
                <w:rFonts w:cstheme="minorHAnsi"/>
                <w:szCs w:val="24"/>
              </w:rPr>
              <w:lastRenderedPageBreak/>
              <w:t>02/07/21</w:t>
            </w:r>
          </w:p>
        </w:tc>
        <w:tc>
          <w:tcPr>
            <w:tcW w:w="1273" w:type="dxa"/>
          </w:tcPr>
          <w:p w14:paraId="4D572E05" w14:textId="77777777" w:rsidR="00F8236B" w:rsidRPr="002C272D" w:rsidRDefault="00F8236B" w:rsidP="00BE0454">
            <w:pPr>
              <w:spacing w:after="0" w:line="240" w:lineRule="auto"/>
              <w:rPr>
                <w:rFonts w:cstheme="minorHAnsi"/>
                <w:szCs w:val="24"/>
              </w:rPr>
            </w:pPr>
            <w:r w:rsidRPr="002C272D">
              <w:rPr>
                <w:rFonts w:cstheme="minorHAnsi"/>
                <w:szCs w:val="24"/>
              </w:rPr>
              <w:t>Draft E</w:t>
            </w:r>
          </w:p>
        </w:tc>
        <w:tc>
          <w:tcPr>
            <w:tcW w:w="6611" w:type="dxa"/>
          </w:tcPr>
          <w:p w14:paraId="248D5CB2" w14:textId="77777777" w:rsidR="00F8236B" w:rsidRPr="00BE0454" w:rsidRDefault="00F8236B" w:rsidP="00BE0454">
            <w:pPr>
              <w:pStyle w:val="ListParagraph"/>
              <w:autoSpaceDE w:val="0"/>
              <w:autoSpaceDN w:val="0"/>
              <w:adjustRightInd w:val="0"/>
              <w:spacing w:beforeLines="50" w:before="120" w:afterLines="50" w:after="120"/>
              <w:ind w:left="0"/>
              <w:rPr>
                <w:rFonts w:cstheme="minorHAnsi"/>
                <w:sz w:val="24"/>
                <w:szCs w:val="24"/>
              </w:rPr>
            </w:pPr>
            <w:r w:rsidRPr="00BE0454">
              <w:rPr>
                <w:rFonts w:cstheme="minorHAnsi"/>
                <w:sz w:val="24"/>
                <w:szCs w:val="24"/>
              </w:rPr>
              <w:t xml:space="preserve">Text from </w:t>
            </w:r>
            <w:hyperlink r:id="rId7" w:history="1">
              <w:r w:rsidRPr="00BE0454">
                <w:rPr>
                  <w:rStyle w:val="Hyperlink"/>
                  <w:rFonts w:asciiTheme="minorHAnsi" w:hAnsiTheme="minorHAnsi" w:cstheme="minorHAnsi"/>
                  <w:sz w:val="24"/>
                  <w:szCs w:val="24"/>
                </w:rPr>
                <w:t>RGWP-C1(210622)</w:t>
              </w:r>
            </w:hyperlink>
            <w:r w:rsidRPr="00BE0454">
              <w:rPr>
                <w:rFonts w:cstheme="minorHAnsi"/>
                <w:sz w:val="24"/>
                <w:szCs w:val="24"/>
              </w:rPr>
              <w:t xml:space="preserve"> China, Clauses 2.1 and 2.2 included in the main body of the text and the “Background” has been updated accordingly.</w:t>
            </w:r>
          </w:p>
        </w:tc>
      </w:tr>
      <w:tr w:rsidR="00F8236B" w:rsidRPr="002C272D" w14:paraId="7C5F8D41" w14:textId="77777777" w:rsidTr="00BE0454">
        <w:tc>
          <w:tcPr>
            <w:tcW w:w="1132" w:type="dxa"/>
          </w:tcPr>
          <w:p w14:paraId="06CB18C2" w14:textId="77777777" w:rsidR="00F8236B" w:rsidRPr="002C272D" w:rsidRDefault="00F8236B" w:rsidP="00BE0454">
            <w:pPr>
              <w:spacing w:after="0" w:line="240" w:lineRule="auto"/>
              <w:rPr>
                <w:rFonts w:cstheme="minorHAnsi"/>
                <w:szCs w:val="24"/>
              </w:rPr>
            </w:pPr>
            <w:r>
              <w:rPr>
                <w:rFonts w:cstheme="minorHAnsi"/>
                <w:szCs w:val="24"/>
              </w:rPr>
              <w:t>24/08/21</w:t>
            </w:r>
          </w:p>
        </w:tc>
        <w:tc>
          <w:tcPr>
            <w:tcW w:w="1273" w:type="dxa"/>
          </w:tcPr>
          <w:p w14:paraId="38818D2A" w14:textId="77777777" w:rsidR="00F8236B" w:rsidRPr="002C272D" w:rsidRDefault="00F8236B" w:rsidP="00BE0454">
            <w:pPr>
              <w:spacing w:after="0" w:line="240" w:lineRule="auto"/>
              <w:rPr>
                <w:rFonts w:cstheme="minorHAnsi"/>
                <w:szCs w:val="24"/>
              </w:rPr>
            </w:pPr>
            <w:r>
              <w:rPr>
                <w:rFonts w:cstheme="minorHAnsi"/>
                <w:szCs w:val="24"/>
              </w:rPr>
              <w:t>Draft F</w:t>
            </w:r>
          </w:p>
        </w:tc>
        <w:tc>
          <w:tcPr>
            <w:tcW w:w="6611" w:type="dxa"/>
          </w:tcPr>
          <w:p w14:paraId="5D11510F" w14:textId="77777777" w:rsidR="00F8236B" w:rsidRPr="00BE0454" w:rsidRDefault="00F8236B" w:rsidP="00BE0454">
            <w:pPr>
              <w:pStyle w:val="ListParagraph"/>
              <w:autoSpaceDE w:val="0"/>
              <w:autoSpaceDN w:val="0"/>
              <w:adjustRightInd w:val="0"/>
              <w:spacing w:beforeLines="50" w:before="120" w:afterLines="50" w:after="120"/>
              <w:ind w:left="0"/>
              <w:rPr>
                <w:rFonts w:cstheme="minorHAnsi"/>
                <w:sz w:val="24"/>
                <w:szCs w:val="24"/>
              </w:rPr>
            </w:pPr>
            <w:r w:rsidRPr="00BE0454">
              <w:rPr>
                <w:rFonts w:cstheme="minorHAnsi"/>
                <w:sz w:val="24"/>
                <w:szCs w:val="24"/>
              </w:rPr>
              <w:t>Submissions for the USA, France and the UK</w:t>
            </w:r>
            <w:r>
              <w:rPr>
                <w:rFonts w:cstheme="minorHAnsi"/>
                <w:sz w:val="24"/>
                <w:szCs w:val="24"/>
              </w:rPr>
              <w:t xml:space="preserve"> were received with comments.  All existing changes were accepted for the ease of reading and editing, previously used colour indications were removed.  Annex 4 was deleted, as was the clause entitled Contributions.</w:t>
            </w:r>
          </w:p>
        </w:tc>
      </w:tr>
    </w:tbl>
    <w:p w14:paraId="78BAEA86" w14:textId="77777777" w:rsidR="00F8236B" w:rsidRPr="002C272D" w:rsidRDefault="00F8236B" w:rsidP="003D7BA3">
      <w:pPr>
        <w:spacing w:line="240" w:lineRule="auto"/>
        <w:rPr>
          <w:rFonts w:cstheme="minorHAnsi"/>
          <w:szCs w:val="24"/>
        </w:rPr>
      </w:pPr>
    </w:p>
    <w:p w14:paraId="35C416E2" w14:textId="77777777" w:rsidR="00F8236B" w:rsidRPr="002C272D" w:rsidRDefault="00F8236B" w:rsidP="003D7BA3">
      <w:pPr>
        <w:pStyle w:val="Heading1"/>
        <w:spacing w:line="240" w:lineRule="auto"/>
        <w:rPr>
          <w:rFonts w:asciiTheme="minorHAnsi" w:hAnsiTheme="minorHAnsi" w:cstheme="minorHAnsi"/>
          <w:sz w:val="24"/>
          <w:szCs w:val="24"/>
        </w:rPr>
      </w:pPr>
      <w:r w:rsidRPr="002C272D">
        <w:rPr>
          <w:rFonts w:asciiTheme="minorHAnsi" w:hAnsiTheme="minorHAnsi" w:cstheme="minorHAnsi"/>
          <w:sz w:val="24"/>
          <w:szCs w:val="24"/>
        </w:rPr>
        <w:t xml:space="preserve">Contributions </w:t>
      </w:r>
    </w:p>
    <w:p w14:paraId="642D6BF8" w14:textId="77777777" w:rsidR="00F8236B" w:rsidRPr="002C272D" w:rsidRDefault="00F8236B" w:rsidP="003D7BA3">
      <w:pPr>
        <w:spacing w:line="240" w:lineRule="auto"/>
        <w:rPr>
          <w:rFonts w:eastAsiaTheme="majorEastAsia" w:cstheme="minorHAnsi"/>
          <w:color w:val="2F5496" w:themeColor="accent1" w:themeShade="BF"/>
          <w:szCs w:val="24"/>
        </w:rPr>
      </w:pPr>
      <w:r w:rsidRPr="002C272D">
        <w:rPr>
          <w:rFonts w:eastAsiaTheme="majorEastAsia" w:cstheme="minorHAnsi"/>
          <w:color w:val="2F5496" w:themeColor="accent1" w:themeShade="BF"/>
          <w:szCs w:val="24"/>
        </w:rPr>
        <w:br w:type="page"/>
      </w:r>
    </w:p>
    <w:p w14:paraId="3D93EF60" w14:textId="77777777" w:rsidR="00F8236B" w:rsidRPr="002C272D" w:rsidRDefault="00F8236B" w:rsidP="003D7BA3">
      <w:pPr>
        <w:pStyle w:val="Heading1"/>
        <w:rPr>
          <w:szCs w:val="24"/>
        </w:rPr>
      </w:pPr>
      <w:r w:rsidRPr="002C272D">
        <w:rPr>
          <w:sz w:val="24"/>
          <w:szCs w:val="24"/>
        </w:rPr>
        <w:lastRenderedPageBreak/>
        <w:t xml:space="preserve">Annex 1 Proposed IAP </w:t>
      </w:r>
    </w:p>
    <w:p w14:paraId="6F52FE07" w14:textId="77777777" w:rsidR="00F8236B" w:rsidRPr="002C272D" w:rsidRDefault="00F8236B" w:rsidP="003D7BA3">
      <w:pPr>
        <w:spacing w:line="240" w:lineRule="auto"/>
        <w:rPr>
          <w:rFonts w:cstheme="minorHAnsi"/>
          <w:szCs w:val="24"/>
        </w:rPr>
      </w:pPr>
      <w:r w:rsidRPr="002C272D">
        <w:rPr>
          <w:rFonts w:cstheme="minorHAnsi"/>
          <w:szCs w:val="24"/>
        </w:rPr>
        <w:t>The following IAP was attached to Contribution [2] above and referenced in the text of the document</w:t>
      </w:r>
    </w:p>
    <w:tbl>
      <w:tblPr>
        <w:tblW w:w="5050" w:type="pct"/>
        <w:tblLayout w:type="fixed"/>
        <w:tblLook w:val="04A0" w:firstRow="1" w:lastRow="0" w:firstColumn="1" w:lastColumn="0" w:noHBand="0" w:noVBand="1"/>
      </w:tblPr>
      <w:tblGrid>
        <w:gridCol w:w="1359"/>
        <w:gridCol w:w="5268"/>
        <w:gridCol w:w="1392"/>
        <w:gridCol w:w="1807"/>
      </w:tblGrid>
      <w:tr w:rsidR="00F8236B" w:rsidRPr="002C272D" w14:paraId="291D0CCD" w14:textId="77777777" w:rsidTr="00F10996">
        <w:trPr>
          <w:cantSplit/>
        </w:trPr>
        <w:tc>
          <w:tcPr>
            <w:tcW w:w="1357" w:type="dxa"/>
            <w:vAlign w:val="center"/>
            <w:hideMark/>
          </w:tcPr>
          <w:p w14:paraId="5DE84FAC" w14:textId="77777777" w:rsidR="00F8236B" w:rsidRPr="002C272D" w:rsidRDefault="00F8236B" w:rsidP="003D7BA3">
            <w:pPr>
              <w:pStyle w:val="TopHeader"/>
              <w:rPr>
                <w:rFonts w:asciiTheme="minorHAnsi" w:hAnsiTheme="minorHAnsi" w:cstheme="minorHAnsi"/>
              </w:rPr>
            </w:pPr>
            <w:r w:rsidRPr="00BE0454">
              <w:rPr>
                <w:rFonts w:asciiTheme="minorHAnsi" w:hAnsiTheme="minorHAnsi" w:cstheme="minorHAnsi"/>
                <w:noProof/>
                <w:lang w:val="de-DE" w:eastAsia="de-DE"/>
              </w:rPr>
              <w:drawing>
                <wp:inline distT="0" distB="0" distL="0" distR="0" wp14:anchorId="28EC6CD2" wp14:editId="1117891C">
                  <wp:extent cx="695960" cy="779780"/>
                  <wp:effectExtent l="0" t="0" r="8890" b="1270"/>
                  <wp:docPr id="1" name="Picture 1"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tu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960" cy="779780"/>
                          </a:xfrm>
                          <a:prstGeom prst="rect">
                            <a:avLst/>
                          </a:prstGeom>
                          <a:noFill/>
                          <a:ln>
                            <a:noFill/>
                          </a:ln>
                        </pic:spPr>
                      </pic:pic>
                    </a:graphicData>
                  </a:graphic>
                </wp:inline>
              </w:drawing>
            </w:r>
          </w:p>
        </w:tc>
        <w:tc>
          <w:tcPr>
            <w:tcW w:w="6650" w:type="dxa"/>
            <w:gridSpan w:val="2"/>
            <w:vAlign w:val="center"/>
            <w:hideMark/>
          </w:tcPr>
          <w:p w14:paraId="34456083" w14:textId="77777777" w:rsidR="00F8236B" w:rsidRPr="002C272D" w:rsidRDefault="00F8236B" w:rsidP="003D7BA3">
            <w:pPr>
              <w:pStyle w:val="TopHeader"/>
              <w:rPr>
                <w:rFonts w:asciiTheme="minorHAnsi" w:hAnsiTheme="minorHAnsi" w:cstheme="minorHAnsi"/>
              </w:rPr>
            </w:pPr>
            <w:r w:rsidRPr="002C272D">
              <w:rPr>
                <w:rFonts w:asciiTheme="minorHAnsi" w:hAnsiTheme="minorHAnsi" w:cstheme="minorHAnsi"/>
              </w:rPr>
              <w:t>World Telecommunication Standardization Assembly (WTSA-20)</w:t>
            </w:r>
            <w:r w:rsidRPr="002C272D">
              <w:rPr>
                <w:rFonts w:asciiTheme="minorHAnsi" w:hAnsiTheme="minorHAnsi" w:cstheme="minorHAnsi"/>
              </w:rPr>
              <w:br/>
              <w:t>Hyderabad, 1-9 March 2022</w:t>
            </w:r>
          </w:p>
        </w:tc>
        <w:tc>
          <w:tcPr>
            <w:tcW w:w="1804" w:type="dxa"/>
            <w:vAlign w:val="center"/>
          </w:tcPr>
          <w:p w14:paraId="64945210" w14:textId="77777777" w:rsidR="00F8236B" w:rsidRPr="002C272D" w:rsidRDefault="00F8236B" w:rsidP="003D7BA3">
            <w:pPr>
              <w:spacing w:line="240" w:lineRule="auto"/>
              <w:jc w:val="right"/>
              <w:rPr>
                <w:rFonts w:cstheme="minorHAnsi"/>
                <w:szCs w:val="24"/>
              </w:rPr>
            </w:pPr>
          </w:p>
        </w:tc>
      </w:tr>
      <w:tr w:rsidR="00F8236B" w:rsidRPr="002C272D" w14:paraId="26730C61" w14:textId="77777777" w:rsidTr="00F10996">
        <w:trPr>
          <w:cantSplit/>
        </w:trPr>
        <w:tc>
          <w:tcPr>
            <w:tcW w:w="6617" w:type="dxa"/>
            <w:gridSpan w:val="2"/>
            <w:tcBorders>
              <w:top w:val="nil"/>
              <w:left w:val="nil"/>
              <w:bottom w:val="single" w:sz="12" w:space="0" w:color="auto"/>
              <w:right w:val="nil"/>
            </w:tcBorders>
            <w:hideMark/>
          </w:tcPr>
          <w:p w14:paraId="5A80D7E8" w14:textId="77777777" w:rsidR="00F8236B" w:rsidRPr="002C272D" w:rsidRDefault="00F8236B" w:rsidP="003D7BA3">
            <w:pPr>
              <w:pStyle w:val="TopHeader"/>
              <w:spacing w:before="60"/>
              <w:rPr>
                <w:rFonts w:asciiTheme="minorHAnsi" w:hAnsiTheme="minorHAnsi" w:cstheme="minorHAnsi"/>
              </w:rPr>
            </w:pPr>
            <w:r w:rsidRPr="002C272D">
              <w:rPr>
                <w:rFonts w:asciiTheme="minorHAnsi" w:hAnsiTheme="minorHAnsi" w:cstheme="minorHAnsi"/>
              </w:rPr>
              <w:t>INTERNATIONAL TELECOMMUNICATION UNION</w:t>
            </w:r>
          </w:p>
        </w:tc>
        <w:tc>
          <w:tcPr>
            <w:tcW w:w="3194" w:type="dxa"/>
            <w:gridSpan w:val="2"/>
            <w:tcBorders>
              <w:top w:val="nil"/>
              <w:left w:val="nil"/>
              <w:bottom w:val="single" w:sz="12" w:space="0" w:color="auto"/>
              <w:right w:val="nil"/>
            </w:tcBorders>
          </w:tcPr>
          <w:p w14:paraId="1BE7CB68" w14:textId="77777777" w:rsidR="00F8236B" w:rsidRPr="002C272D" w:rsidRDefault="00F8236B" w:rsidP="003D7BA3">
            <w:pPr>
              <w:spacing w:line="240" w:lineRule="auto"/>
              <w:rPr>
                <w:rFonts w:cstheme="minorHAnsi"/>
                <w:szCs w:val="24"/>
              </w:rPr>
            </w:pPr>
          </w:p>
        </w:tc>
      </w:tr>
      <w:tr w:rsidR="00F8236B" w:rsidRPr="002C272D" w14:paraId="10AB300B" w14:textId="77777777" w:rsidTr="00F10996">
        <w:trPr>
          <w:cantSplit/>
        </w:trPr>
        <w:tc>
          <w:tcPr>
            <w:tcW w:w="6617" w:type="dxa"/>
            <w:gridSpan w:val="2"/>
            <w:tcBorders>
              <w:top w:val="single" w:sz="12" w:space="0" w:color="auto"/>
              <w:left w:val="nil"/>
              <w:bottom w:val="nil"/>
              <w:right w:val="nil"/>
            </w:tcBorders>
          </w:tcPr>
          <w:p w14:paraId="26AEB68A" w14:textId="77777777" w:rsidR="00F8236B" w:rsidRPr="002C272D" w:rsidRDefault="00F8236B" w:rsidP="003D7BA3">
            <w:pPr>
              <w:spacing w:line="240" w:lineRule="auto"/>
              <w:rPr>
                <w:rFonts w:cstheme="minorHAnsi"/>
                <w:szCs w:val="24"/>
              </w:rPr>
            </w:pPr>
          </w:p>
        </w:tc>
        <w:tc>
          <w:tcPr>
            <w:tcW w:w="3194" w:type="dxa"/>
            <w:gridSpan w:val="2"/>
          </w:tcPr>
          <w:p w14:paraId="179D82AF" w14:textId="77777777" w:rsidR="00F8236B" w:rsidRPr="002C272D" w:rsidRDefault="00F8236B" w:rsidP="003D7BA3">
            <w:pPr>
              <w:spacing w:line="240" w:lineRule="auto"/>
              <w:rPr>
                <w:rFonts w:cstheme="minorHAnsi"/>
                <w:b/>
                <w:bCs/>
                <w:szCs w:val="24"/>
              </w:rPr>
            </w:pPr>
          </w:p>
        </w:tc>
      </w:tr>
      <w:tr w:rsidR="00F8236B" w:rsidRPr="002C272D" w14:paraId="3783BF30" w14:textId="77777777" w:rsidTr="00F10996">
        <w:trPr>
          <w:cantSplit/>
        </w:trPr>
        <w:tc>
          <w:tcPr>
            <w:tcW w:w="6617" w:type="dxa"/>
            <w:gridSpan w:val="2"/>
            <w:hideMark/>
          </w:tcPr>
          <w:p w14:paraId="125EDFE1" w14:textId="77777777" w:rsidR="00F8236B" w:rsidRPr="00BE0454" w:rsidRDefault="00F8236B" w:rsidP="003D7BA3">
            <w:pPr>
              <w:pStyle w:val="Committee"/>
              <w:spacing w:line="240" w:lineRule="auto"/>
              <w:rPr>
                <w:rFonts w:asciiTheme="minorHAnsi" w:hAnsiTheme="minorHAnsi"/>
              </w:rPr>
            </w:pPr>
            <w:r w:rsidRPr="002C272D">
              <w:rPr>
                <w:rFonts w:asciiTheme="minorHAnsi" w:hAnsiTheme="minorHAnsi"/>
              </w:rPr>
              <w:t>PLENARY MEETING</w:t>
            </w:r>
          </w:p>
        </w:tc>
        <w:tc>
          <w:tcPr>
            <w:tcW w:w="3194" w:type="dxa"/>
            <w:gridSpan w:val="2"/>
            <w:hideMark/>
          </w:tcPr>
          <w:p w14:paraId="5CBF71F6" w14:textId="77777777" w:rsidR="00F8236B" w:rsidRPr="002C272D" w:rsidRDefault="00F8236B" w:rsidP="003D7BA3">
            <w:pPr>
              <w:pStyle w:val="Docnumber"/>
              <w:ind w:left="-57"/>
              <w:rPr>
                <w:rFonts w:asciiTheme="minorHAnsi" w:hAnsiTheme="minorHAnsi" w:cstheme="minorHAnsi"/>
                <w:sz w:val="24"/>
                <w:szCs w:val="24"/>
              </w:rPr>
            </w:pPr>
            <w:r w:rsidRPr="002C272D">
              <w:rPr>
                <w:rFonts w:asciiTheme="minorHAnsi" w:hAnsiTheme="minorHAnsi" w:cstheme="minorHAnsi"/>
                <w:sz w:val="24"/>
                <w:szCs w:val="24"/>
              </w:rPr>
              <w:t>Addendum 13 to</w:t>
            </w:r>
            <w:r w:rsidRPr="002C272D">
              <w:rPr>
                <w:rFonts w:asciiTheme="minorHAnsi" w:hAnsiTheme="minorHAnsi" w:cstheme="minorHAnsi"/>
                <w:sz w:val="24"/>
                <w:szCs w:val="24"/>
              </w:rPr>
              <w:br/>
              <w:t>Document xx-E</w:t>
            </w:r>
          </w:p>
        </w:tc>
      </w:tr>
      <w:tr w:rsidR="00F8236B" w:rsidRPr="002C272D" w14:paraId="33BF7B0D" w14:textId="77777777" w:rsidTr="00F10996">
        <w:trPr>
          <w:cantSplit/>
        </w:trPr>
        <w:tc>
          <w:tcPr>
            <w:tcW w:w="6617" w:type="dxa"/>
            <w:gridSpan w:val="2"/>
          </w:tcPr>
          <w:p w14:paraId="544A5F97" w14:textId="77777777" w:rsidR="00F8236B" w:rsidRPr="002C272D" w:rsidRDefault="00F8236B" w:rsidP="003D7BA3">
            <w:pPr>
              <w:spacing w:line="240" w:lineRule="auto"/>
              <w:rPr>
                <w:rFonts w:cstheme="minorHAnsi"/>
                <w:szCs w:val="24"/>
              </w:rPr>
            </w:pPr>
          </w:p>
        </w:tc>
        <w:tc>
          <w:tcPr>
            <w:tcW w:w="3194" w:type="dxa"/>
            <w:gridSpan w:val="2"/>
            <w:hideMark/>
          </w:tcPr>
          <w:p w14:paraId="444204D0" w14:textId="77777777" w:rsidR="00F8236B" w:rsidRPr="002C272D" w:rsidRDefault="00F8236B" w:rsidP="003D7BA3">
            <w:pPr>
              <w:pStyle w:val="TopHeader"/>
              <w:spacing w:before="0"/>
              <w:ind w:left="-57"/>
              <w:rPr>
                <w:rFonts w:asciiTheme="minorHAnsi" w:hAnsiTheme="minorHAnsi" w:cstheme="minorHAnsi"/>
              </w:rPr>
            </w:pPr>
            <w:r w:rsidRPr="002C272D">
              <w:rPr>
                <w:rFonts w:asciiTheme="minorHAnsi" w:hAnsiTheme="minorHAnsi" w:cstheme="minorHAnsi"/>
              </w:rPr>
              <w:t>Xx yd 2020</w:t>
            </w:r>
          </w:p>
        </w:tc>
      </w:tr>
      <w:tr w:rsidR="00F8236B" w:rsidRPr="002C272D" w14:paraId="1C36F713" w14:textId="77777777" w:rsidTr="00F10996">
        <w:trPr>
          <w:cantSplit/>
        </w:trPr>
        <w:tc>
          <w:tcPr>
            <w:tcW w:w="6617" w:type="dxa"/>
            <w:gridSpan w:val="2"/>
          </w:tcPr>
          <w:p w14:paraId="53E0733E" w14:textId="77777777" w:rsidR="00F8236B" w:rsidRPr="002C272D" w:rsidRDefault="00F8236B" w:rsidP="003D7BA3">
            <w:pPr>
              <w:spacing w:line="240" w:lineRule="auto"/>
              <w:rPr>
                <w:rFonts w:cstheme="minorHAnsi"/>
                <w:szCs w:val="24"/>
              </w:rPr>
            </w:pPr>
          </w:p>
        </w:tc>
        <w:tc>
          <w:tcPr>
            <w:tcW w:w="3194" w:type="dxa"/>
            <w:gridSpan w:val="2"/>
            <w:hideMark/>
          </w:tcPr>
          <w:p w14:paraId="64B20356" w14:textId="77777777" w:rsidR="00F8236B" w:rsidRPr="002C272D" w:rsidRDefault="00F8236B" w:rsidP="003D7BA3">
            <w:pPr>
              <w:pStyle w:val="TopHeader"/>
              <w:spacing w:before="0"/>
              <w:ind w:left="-57"/>
              <w:rPr>
                <w:rFonts w:asciiTheme="minorHAnsi" w:hAnsiTheme="minorHAnsi" w:cstheme="minorHAnsi"/>
              </w:rPr>
            </w:pPr>
            <w:r w:rsidRPr="002C272D">
              <w:rPr>
                <w:rFonts w:asciiTheme="minorHAnsi" w:hAnsiTheme="minorHAnsi" w:cstheme="minorHAnsi"/>
              </w:rPr>
              <w:t>Original: English</w:t>
            </w:r>
          </w:p>
        </w:tc>
      </w:tr>
      <w:tr w:rsidR="00F8236B" w:rsidRPr="002C272D" w14:paraId="4692BD4D" w14:textId="77777777" w:rsidTr="00F10996">
        <w:trPr>
          <w:cantSplit/>
        </w:trPr>
        <w:tc>
          <w:tcPr>
            <w:tcW w:w="9811" w:type="dxa"/>
            <w:gridSpan w:val="4"/>
          </w:tcPr>
          <w:p w14:paraId="03B15EE9" w14:textId="77777777" w:rsidR="00F8236B" w:rsidRPr="002C272D" w:rsidRDefault="00F8236B" w:rsidP="003D7BA3">
            <w:pPr>
              <w:pStyle w:val="TopHeader"/>
              <w:spacing w:before="0"/>
              <w:rPr>
                <w:rFonts w:asciiTheme="minorHAnsi" w:hAnsiTheme="minorHAnsi" w:cstheme="minorHAnsi"/>
              </w:rPr>
            </w:pPr>
          </w:p>
        </w:tc>
      </w:tr>
      <w:tr w:rsidR="00F8236B" w:rsidRPr="002C272D" w14:paraId="54F4C82A" w14:textId="77777777" w:rsidTr="00F10996">
        <w:trPr>
          <w:cantSplit/>
        </w:trPr>
        <w:tc>
          <w:tcPr>
            <w:tcW w:w="9811" w:type="dxa"/>
            <w:gridSpan w:val="4"/>
            <w:hideMark/>
          </w:tcPr>
          <w:p w14:paraId="067516B5" w14:textId="77777777" w:rsidR="00F8236B" w:rsidRPr="00BE0454" w:rsidRDefault="00F8236B" w:rsidP="003D7BA3">
            <w:pPr>
              <w:pStyle w:val="Source"/>
              <w:rPr>
                <w:rFonts w:asciiTheme="minorHAnsi" w:hAnsiTheme="minorHAnsi" w:cstheme="minorHAnsi"/>
                <w:sz w:val="24"/>
                <w:szCs w:val="24"/>
              </w:rPr>
            </w:pPr>
            <w:r w:rsidRPr="002C272D">
              <w:rPr>
                <w:rFonts w:asciiTheme="minorHAnsi" w:hAnsiTheme="minorHAnsi" w:cstheme="minorHAnsi"/>
                <w:sz w:val="24"/>
                <w:szCs w:val="24"/>
              </w:rPr>
              <w:t>Member States of the Inter-American Telecommunication Commission (CITEL)</w:t>
            </w:r>
          </w:p>
        </w:tc>
      </w:tr>
      <w:tr w:rsidR="00F8236B" w:rsidRPr="002C272D" w14:paraId="6B42566D" w14:textId="77777777" w:rsidTr="00F10996">
        <w:trPr>
          <w:cantSplit/>
        </w:trPr>
        <w:tc>
          <w:tcPr>
            <w:tcW w:w="9811" w:type="dxa"/>
            <w:gridSpan w:val="4"/>
            <w:hideMark/>
          </w:tcPr>
          <w:p w14:paraId="4DAFC5C1" w14:textId="77777777" w:rsidR="00F8236B" w:rsidRPr="00BE0454" w:rsidRDefault="00F8236B" w:rsidP="003D7BA3">
            <w:pPr>
              <w:pStyle w:val="Title1"/>
              <w:rPr>
                <w:rFonts w:asciiTheme="minorHAnsi" w:hAnsiTheme="minorHAnsi" w:cstheme="minorHAnsi"/>
                <w:sz w:val="24"/>
                <w:szCs w:val="24"/>
              </w:rPr>
            </w:pPr>
            <w:r w:rsidRPr="002C272D">
              <w:rPr>
                <w:rFonts w:asciiTheme="minorHAnsi" w:hAnsiTheme="minorHAnsi" w:cstheme="minorHAnsi"/>
                <w:sz w:val="24"/>
                <w:szCs w:val="24"/>
              </w:rPr>
              <w:t>DRAFT NEW RESOLUTION: TOWARDS A MORE EFFECTIVE, EFFICIENT, FIT FOR PURPOSE, AND INCLUSIVE ITU STANDARDIZATION SECTOR</w:t>
            </w:r>
          </w:p>
        </w:tc>
      </w:tr>
      <w:tr w:rsidR="00F8236B" w:rsidRPr="002C272D" w14:paraId="273C114B" w14:textId="77777777" w:rsidTr="00F10996">
        <w:trPr>
          <w:cantSplit/>
          <w:trHeight w:val="125"/>
        </w:trPr>
        <w:tc>
          <w:tcPr>
            <w:tcW w:w="9811" w:type="dxa"/>
            <w:gridSpan w:val="4"/>
          </w:tcPr>
          <w:p w14:paraId="6AFA8137" w14:textId="77777777" w:rsidR="00F8236B" w:rsidRPr="002C272D" w:rsidRDefault="00F8236B" w:rsidP="003D7BA3">
            <w:pPr>
              <w:pStyle w:val="Title2"/>
              <w:spacing w:before="0"/>
              <w:rPr>
                <w:rFonts w:asciiTheme="minorHAnsi" w:hAnsiTheme="minorHAnsi" w:cstheme="minorHAnsi"/>
                <w:sz w:val="24"/>
                <w:szCs w:val="24"/>
              </w:rPr>
            </w:pPr>
          </w:p>
        </w:tc>
      </w:tr>
      <w:tr w:rsidR="00F8236B" w:rsidRPr="002C272D" w14:paraId="5ADCDE14" w14:textId="77777777" w:rsidTr="00F10996">
        <w:trPr>
          <w:cantSplit/>
        </w:trPr>
        <w:tc>
          <w:tcPr>
            <w:tcW w:w="9811" w:type="dxa"/>
            <w:gridSpan w:val="4"/>
            <w:hideMark/>
          </w:tcPr>
          <w:p w14:paraId="46703CE4" w14:textId="77777777" w:rsidR="00F8236B" w:rsidRPr="002C272D" w:rsidRDefault="00F8236B" w:rsidP="003D7BA3">
            <w:pPr>
              <w:pStyle w:val="Title1"/>
              <w:spacing w:before="0"/>
              <w:rPr>
                <w:rFonts w:asciiTheme="minorHAnsi" w:hAnsiTheme="minorHAnsi" w:cstheme="minorHAnsi"/>
                <w:sz w:val="24"/>
                <w:szCs w:val="24"/>
              </w:rPr>
            </w:pPr>
            <w:r w:rsidRPr="002C272D">
              <w:rPr>
                <w:rFonts w:asciiTheme="minorHAnsi" w:hAnsiTheme="minorHAnsi" w:cstheme="minorHAnsi"/>
                <w:sz w:val="24"/>
                <w:szCs w:val="24"/>
              </w:rPr>
              <w:t>__</w:t>
            </w:r>
          </w:p>
        </w:tc>
      </w:tr>
    </w:tbl>
    <w:p w14:paraId="66408AA4" w14:textId="77777777" w:rsidR="00F8236B" w:rsidRPr="002C272D" w:rsidRDefault="00F8236B" w:rsidP="003D7BA3">
      <w:pPr>
        <w:spacing w:line="240" w:lineRule="auto"/>
        <w:rPr>
          <w:rFonts w:cstheme="minorHAnsi"/>
          <w:szCs w:val="24"/>
        </w:rPr>
      </w:pPr>
    </w:p>
    <w:tbl>
      <w:tblPr>
        <w:tblW w:w="5050" w:type="pct"/>
        <w:tblLayout w:type="fixed"/>
        <w:tblLook w:val="04A0" w:firstRow="1" w:lastRow="0" w:firstColumn="1" w:lastColumn="0" w:noHBand="0" w:noVBand="1"/>
      </w:tblPr>
      <w:tblGrid>
        <w:gridCol w:w="1915"/>
        <w:gridCol w:w="7911"/>
      </w:tblGrid>
      <w:tr w:rsidR="00F8236B" w:rsidRPr="002C272D" w14:paraId="3BE60E5B" w14:textId="77777777" w:rsidTr="00F10996">
        <w:trPr>
          <w:cantSplit/>
        </w:trPr>
        <w:tc>
          <w:tcPr>
            <w:tcW w:w="1912" w:type="dxa"/>
            <w:hideMark/>
          </w:tcPr>
          <w:p w14:paraId="5513AC90" w14:textId="77777777" w:rsidR="00F8236B" w:rsidRPr="002C272D" w:rsidRDefault="00F8236B" w:rsidP="003D7BA3">
            <w:pPr>
              <w:spacing w:line="240" w:lineRule="auto"/>
              <w:rPr>
                <w:rFonts w:cstheme="minorHAnsi"/>
                <w:szCs w:val="24"/>
              </w:rPr>
            </w:pPr>
            <w:r w:rsidRPr="002C272D">
              <w:rPr>
                <w:rFonts w:cstheme="minorHAnsi"/>
                <w:b/>
                <w:bCs/>
                <w:szCs w:val="24"/>
              </w:rPr>
              <w:t>Abstract:</w:t>
            </w:r>
          </w:p>
        </w:tc>
        <w:sdt>
          <w:sdtPr>
            <w:rPr>
              <w:rFonts w:cstheme="minorHAnsi"/>
              <w:szCs w:val="24"/>
            </w:rPr>
            <w:alias w:val="Abstract"/>
            <w:tag w:val="Abstract"/>
            <w:id w:val="-1606424080"/>
            <w:placeholder>
              <w:docPart w:val="3D97C74BC5924192827E23A9AA32A42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899" w:type="dxa"/>
                <w:hideMark/>
              </w:tcPr>
              <w:p w14:paraId="6ECFFB3C" w14:textId="77777777" w:rsidR="00F8236B" w:rsidRPr="002C272D" w:rsidRDefault="00F8236B" w:rsidP="003D7BA3">
                <w:pPr>
                  <w:spacing w:line="240" w:lineRule="auto"/>
                  <w:rPr>
                    <w:rFonts w:cstheme="minorHAnsi"/>
                    <w:szCs w:val="24"/>
                  </w:rPr>
                </w:pPr>
                <w:proofErr w:type="gramStart"/>
                <w:r w:rsidRPr="002C272D">
                  <w:rPr>
                    <w:rFonts w:cstheme="minorHAnsi"/>
                    <w:szCs w:val="24"/>
                  </w:rPr>
                  <w:t>In order to</w:t>
                </w:r>
                <w:proofErr w:type="gramEnd"/>
                <w:r w:rsidRPr="002C272D">
                  <w:rPr>
                    <w:rFonts w:cstheme="minorHAnsi"/>
                    <w:szCs w:val="24"/>
                  </w:rPr>
                  <w:t xml:space="preserve"> promote a more effective, efficient, fit-for-purpose and inclusive ITU-T, CITEL proposes that WTSA-20 initiate a thorough examination of the ITU-T’s standardization activities. The listed administrations believe that the delay in convening WTSA-20 should not delay consideration of more effective, efficient, fit-for-purpose and inclusive ITU-T, and TSAG can begin activities leading to a conclusion in time for WTSA-24.</w:t>
                </w:r>
              </w:p>
            </w:tc>
          </w:sdtContent>
        </w:sdt>
      </w:tr>
      <w:tr w:rsidR="00F8236B" w:rsidRPr="002C272D" w14:paraId="32FA962F" w14:textId="77777777" w:rsidTr="00F10996">
        <w:trPr>
          <w:cantSplit/>
        </w:trPr>
        <w:tc>
          <w:tcPr>
            <w:tcW w:w="1912" w:type="dxa"/>
            <w:hideMark/>
          </w:tcPr>
          <w:p w14:paraId="03C17FB8" w14:textId="77777777" w:rsidR="00F8236B" w:rsidRPr="002C272D" w:rsidRDefault="00F8236B" w:rsidP="003D7BA3">
            <w:pPr>
              <w:spacing w:line="240" w:lineRule="auto"/>
              <w:rPr>
                <w:rFonts w:cstheme="minorHAnsi"/>
                <w:b/>
                <w:bCs/>
                <w:szCs w:val="24"/>
              </w:rPr>
            </w:pPr>
            <w:proofErr w:type="gramStart"/>
            <w:r w:rsidRPr="002C272D">
              <w:rPr>
                <w:rFonts w:cstheme="minorHAnsi"/>
                <w:b/>
                <w:bCs/>
                <w:szCs w:val="24"/>
              </w:rPr>
              <w:lastRenderedPageBreak/>
              <w:t>Introduction :</w:t>
            </w:r>
            <w:proofErr w:type="gramEnd"/>
          </w:p>
        </w:tc>
        <w:tc>
          <w:tcPr>
            <w:tcW w:w="7899" w:type="dxa"/>
            <w:hideMark/>
          </w:tcPr>
          <w:p w14:paraId="314D7456" w14:textId="77777777" w:rsidR="00F8236B" w:rsidRPr="002C272D" w:rsidRDefault="00F8236B" w:rsidP="003D7BA3">
            <w:pPr>
              <w:spacing w:line="240" w:lineRule="auto"/>
              <w:rPr>
                <w:rFonts w:cstheme="minorHAnsi"/>
                <w:szCs w:val="24"/>
                <w:lang w:val="en-US" w:eastAsia="en-US"/>
              </w:rPr>
            </w:pPr>
            <w:r w:rsidRPr="002C272D">
              <w:rPr>
                <w:rFonts w:cstheme="minorHAnsi"/>
                <w:color w:val="000000"/>
                <w:szCs w:val="24"/>
              </w:rPr>
              <w:t xml:space="preserve">The proposed new Resolution aims to identify and address the challenges faced by the ITU Telecommunication Standardization Sector in a rapidly changing telecommunication/ICT environment.  </w:t>
            </w:r>
            <w:r w:rsidRPr="002C272D">
              <w:rPr>
                <w:rFonts w:cstheme="minorHAnsi"/>
                <w:szCs w:val="24"/>
              </w:rPr>
              <w:t xml:space="preserve">It calls for an examination of the ITU-T’s standardization functions to ensure that the standardization needs of the membership are met; </w:t>
            </w:r>
            <w:r w:rsidRPr="002C272D">
              <w:rPr>
                <w:rFonts w:eastAsia="Calibri" w:cstheme="minorHAnsi"/>
                <w:szCs w:val="24"/>
              </w:rPr>
              <w:t>that the ITU-T structure and processes provide for the rapid development of high-quality, demand-driven, transparent, consensus-based voluntary standards, giving consideration and accommodation to all views and concerns; and</w:t>
            </w:r>
            <w:r w:rsidRPr="002C272D">
              <w:rPr>
                <w:rFonts w:cstheme="minorHAnsi"/>
                <w:szCs w:val="24"/>
              </w:rPr>
              <w:t xml:space="preserve"> </w:t>
            </w:r>
            <w:r w:rsidRPr="002C272D">
              <w:rPr>
                <w:rFonts w:eastAsia="Calibri" w:cstheme="minorHAnsi"/>
                <w:szCs w:val="24"/>
              </w:rPr>
              <w:t xml:space="preserve">that the </w:t>
            </w:r>
            <w:r w:rsidRPr="002C272D">
              <w:rPr>
                <w:rFonts w:eastAsia="Calibri" w:cstheme="minorHAnsi"/>
                <w:color w:val="000000"/>
                <w:szCs w:val="24"/>
              </w:rPr>
              <w:t>ITU-T’s commitments under Resolution 123 (Rev. Dubai, 2018) on Bridging the Standardization Gap are adequately met.</w:t>
            </w:r>
          </w:p>
          <w:p w14:paraId="0374CD74" w14:textId="77777777" w:rsidR="00F8236B" w:rsidRPr="002C272D" w:rsidRDefault="00F8236B" w:rsidP="003D7BA3">
            <w:pPr>
              <w:pStyle w:val="ListParagraph"/>
              <w:rPr>
                <w:rFonts w:cstheme="minorHAnsi"/>
                <w:sz w:val="24"/>
                <w:szCs w:val="24"/>
                <w:lang w:val="pt-PT" w:eastAsia="zh-CN"/>
              </w:rPr>
            </w:pPr>
            <w:r w:rsidRPr="002C272D">
              <w:rPr>
                <w:rFonts w:eastAsia="Times New Roman" w:cstheme="minorHAnsi"/>
                <w:color w:val="000000"/>
                <w:sz w:val="24"/>
                <w:szCs w:val="24"/>
              </w:rPr>
              <w:t>The proposed new Resolution calls for a review process that would consider both quantitative metrics and qualitative policy-oriented questions.  An independent external consultant will be retained to collect and analyze data based on the metrics and questions.  Based on the analysis and findings, the consultant is proposed to prepare a report with recommendations for TSAG and the Council for further consideration.</w:t>
            </w:r>
          </w:p>
        </w:tc>
      </w:tr>
      <w:tr w:rsidR="00F8236B" w:rsidRPr="002C272D" w14:paraId="55D3192A" w14:textId="77777777" w:rsidTr="00F10996">
        <w:trPr>
          <w:cantSplit/>
        </w:trPr>
        <w:tc>
          <w:tcPr>
            <w:tcW w:w="1912" w:type="dxa"/>
            <w:hideMark/>
          </w:tcPr>
          <w:p w14:paraId="52606802" w14:textId="77777777" w:rsidR="00F8236B" w:rsidRPr="002C272D" w:rsidRDefault="00F8236B" w:rsidP="003D7BA3">
            <w:pPr>
              <w:spacing w:line="240" w:lineRule="auto"/>
              <w:rPr>
                <w:rFonts w:cstheme="minorHAnsi"/>
                <w:b/>
                <w:bCs/>
                <w:szCs w:val="24"/>
              </w:rPr>
            </w:pPr>
            <w:proofErr w:type="gramStart"/>
            <w:r w:rsidRPr="002C272D">
              <w:rPr>
                <w:rFonts w:cstheme="minorHAnsi"/>
                <w:b/>
                <w:bCs/>
                <w:szCs w:val="24"/>
              </w:rPr>
              <w:t>Proposal :</w:t>
            </w:r>
            <w:proofErr w:type="gramEnd"/>
          </w:p>
        </w:tc>
        <w:tc>
          <w:tcPr>
            <w:tcW w:w="7899" w:type="dxa"/>
            <w:hideMark/>
          </w:tcPr>
          <w:p w14:paraId="5782F3E2" w14:textId="77777777" w:rsidR="00F8236B" w:rsidRPr="002C272D" w:rsidRDefault="00F8236B" w:rsidP="003D7BA3">
            <w:pPr>
              <w:spacing w:line="240" w:lineRule="auto"/>
              <w:contextualSpacing/>
              <w:rPr>
                <w:rFonts w:cstheme="minorHAnsi"/>
                <w:szCs w:val="24"/>
              </w:rPr>
            </w:pPr>
            <w:r w:rsidRPr="002C272D">
              <w:rPr>
                <w:rFonts w:cstheme="minorHAnsi"/>
                <w:szCs w:val="24"/>
              </w:rPr>
              <w:t xml:space="preserve">Add a new Resolution to </w:t>
            </w:r>
            <w:r w:rsidRPr="002C272D">
              <w:rPr>
                <w:rFonts w:cstheme="minorHAnsi"/>
                <w:color w:val="000000"/>
                <w:szCs w:val="24"/>
              </w:rPr>
              <w:t>initiate a thorough review process, based on empirical analysis, with a view to having a</w:t>
            </w:r>
            <w:bookmarkStart w:id="1" w:name="_Hlk59022423"/>
            <w:r w:rsidRPr="002C272D">
              <w:rPr>
                <w:rFonts w:cstheme="minorHAnsi"/>
                <w:color w:val="000000"/>
                <w:szCs w:val="24"/>
              </w:rPr>
              <w:t xml:space="preserve"> more effective, efficient, fit-for-purpose and inclusive ITU-T.</w:t>
            </w:r>
            <w:bookmarkEnd w:id="1"/>
          </w:p>
        </w:tc>
      </w:tr>
    </w:tbl>
    <w:p w14:paraId="1E7947F6" w14:textId="77777777" w:rsidR="00F8236B" w:rsidRPr="002C272D" w:rsidRDefault="00F8236B" w:rsidP="003D7BA3">
      <w:pPr>
        <w:spacing w:line="240" w:lineRule="auto"/>
        <w:jc w:val="center"/>
        <w:rPr>
          <w:rFonts w:cstheme="minorHAnsi"/>
          <w:szCs w:val="24"/>
          <w:lang w:val="en-US"/>
        </w:rPr>
      </w:pPr>
    </w:p>
    <w:p w14:paraId="2DCA6AD4" w14:textId="77777777" w:rsidR="00F8236B" w:rsidRPr="002C272D" w:rsidRDefault="00F8236B">
      <w:pPr>
        <w:pStyle w:val="TopHeader"/>
        <w:rPr>
          <w:rFonts w:asciiTheme="minorHAnsi" w:eastAsia="Calibri" w:hAnsiTheme="minorHAnsi" w:cstheme="minorHAnsi"/>
          <w:lang w:val="en-US"/>
        </w:rPr>
      </w:pPr>
      <w:r w:rsidRPr="002C272D">
        <w:rPr>
          <w:rFonts w:asciiTheme="minorHAnsi" w:hAnsiTheme="minorHAnsi" w:cstheme="minorHAnsi"/>
          <w:b w:val="0"/>
          <w:bCs w:val="0"/>
        </w:rPr>
        <w:br w:type="page"/>
      </w:r>
      <w:r w:rsidRPr="002C272D">
        <w:rPr>
          <w:rFonts w:asciiTheme="minorHAnsi" w:eastAsia="Calibri" w:hAnsiTheme="minorHAnsi" w:cstheme="minorHAnsi"/>
        </w:rPr>
        <w:lastRenderedPageBreak/>
        <w:t>ADD</w:t>
      </w:r>
    </w:p>
    <w:p w14:paraId="49712546" w14:textId="77777777" w:rsidR="00F8236B" w:rsidRPr="002C272D" w:rsidRDefault="00F8236B">
      <w:pPr>
        <w:pStyle w:val="ResNo"/>
        <w:rPr>
          <w:rFonts w:asciiTheme="minorHAnsi" w:eastAsia="Calibri" w:hAnsiTheme="minorHAnsi" w:cstheme="minorHAnsi"/>
          <w:i/>
          <w:iCs/>
          <w:sz w:val="24"/>
          <w:szCs w:val="24"/>
        </w:rPr>
      </w:pPr>
      <w:r w:rsidRPr="002C272D">
        <w:rPr>
          <w:rFonts w:asciiTheme="minorHAnsi" w:eastAsia="Calibri" w:hAnsiTheme="minorHAnsi" w:cstheme="minorHAnsi"/>
          <w:sz w:val="24"/>
          <w:szCs w:val="24"/>
        </w:rPr>
        <w:t xml:space="preserve">DRAFT NEW RESOLUTION XX </w:t>
      </w:r>
      <w:r w:rsidRPr="002C272D">
        <w:rPr>
          <w:rFonts w:asciiTheme="minorHAnsi" w:eastAsia="Calibri" w:hAnsiTheme="minorHAnsi" w:cstheme="minorHAnsi"/>
          <w:iCs/>
          <w:sz w:val="24"/>
          <w:szCs w:val="24"/>
        </w:rPr>
        <w:t>(Hyderabad, 2020)</w:t>
      </w:r>
    </w:p>
    <w:p w14:paraId="14AFDB9A" w14:textId="77777777" w:rsidR="00F8236B" w:rsidRPr="002C272D" w:rsidRDefault="00F8236B">
      <w:pPr>
        <w:pStyle w:val="Restitle"/>
        <w:rPr>
          <w:rFonts w:asciiTheme="minorHAnsi" w:eastAsia="Calibri" w:hAnsiTheme="minorHAnsi" w:cstheme="minorHAnsi"/>
          <w:sz w:val="24"/>
          <w:szCs w:val="24"/>
        </w:rPr>
      </w:pPr>
      <w:r w:rsidRPr="002C272D">
        <w:rPr>
          <w:rFonts w:asciiTheme="minorHAnsi" w:eastAsia="Calibri" w:hAnsiTheme="minorHAnsi" w:cstheme="minorHAnsi"/>
          <w:sz w:val="24"/>
          <w:szCs w:val="24"/>
        </w:rPr>
        <w:t>Towards a More Effective, Efficient, Fit for Purpose, and Inclusive ITU Standardization Sector</w:t>
      </w:r>
    </w:p>
    <w:p w14:paraId="39886F5F" w14:textId="77777777" w:rsidR="00F8236B" w:rsidRPr="002C272D" w:rsidRDefault="00F8236B">
      <w:pPr>
        <w:pStyle w:val="Partref"/>
        <w:rPr>
          <w:rFonts w:asciiTheme="minorHAnsi" w:eastAsia="Calibri" w:hAnsiTheme="minorHAnsi" w:cstheme="minorHAnsi"/>
          <w:i/>
          <w:iCs/>
          <w:szCs w:val="24"/>
        </w:rPr>
      </w:pPr>
      <w:r w:rsidRPr="002C272D">
        <w:rPr>
          <w:rFonts w:asciiTheme="minorHAnsi" w:eastAsia="Calibri" w:hAnsiTheme="minorHAnsi" w:cstheme="minorHAnsi"/>
          <w:i/>
          <w:iCs/>
          <w:szCs w:val="24"/>
        </w:rPr>
        <w:t>(Hyderabad, 2020)</w:t>
      </w:r>
    </w:p>
    <w:p w14:paraId="422573D7" w14:textId="77777777" w:rsidR="00F8236B" w:rsidRPr="002C272D" w:rsidRDefault="00F8236B">
      <w:pPr>
        <w:pStyle w:val="Normalaftertitle"/>
        <w:rPr>
          <w:rFonts w:asciiTheme="minorHAnsi" w:eastAsia="Calibri" w:hAnsiTheme="minorHAnsi" w:cstheme="minorHAnsi"/>
          <w:szCs w:val="24"/>
        </w:rPr>
      </w:pPr>
      <w:r w:rsidRPr="002C272D">
        <w:rPr>
          <w:rFonts w:asciiTheme="minorHAnsi" w:eastAsia="Calibri" w:hAnsiTheme="minorHAnsi" w:cstheme="minorHAnsi"/>
          <w:szCs w:val="24"/>
        </w:rPr>
        <w:t>The World Telecommunication Standardization Assembly (Hyderabad, 2020),</w:t>
      </w:r>
    </w:p>
    <w:p w14:paraId="31D9E143" w14:textId="77777777"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considering</w:t>
      </w:r>
    </w:p>
    <w:p w14:paraId="0EA39F3C"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 xml:space="preserve">a) </w:t>
      </w:r>
      <w:r w:rsidRPr="002C272D">
        <w:rPr>
          <w:rFonts w:eastAsia="Calibri" w:cstheme="minorHAnsi"/>
          <w:szCs w:val="24"/>
        </w:rPr>
        <w:tab/>
        <w:t xml:space="preserve">the provisions of the ITU Constitution and ITU Convention related to strategic goals and objectives of the </w:t>
      </w:r>
      <w:proofErr w:type="gramStart"/>
      <w:r w:rsidRPr="002C272D">
        <w:rPr>
          <w:rFonts w:eastAsia="Calibri" w:cstheme="minorHAnsi"/>
          <w:szCs w:val="24"/>
        </w:rPr>
        <w:t>Union;</w:t>
      </w:r>
      <w:proofErr w:type="gramEnd"/>
    </w:p>
    <w:p w14:paraId="362076BF"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 xml:space="preserve">b) </w:t>
      </w:r>
      <w:r w:rsidRPr="002C272D">
        <w:rPr>
          <w:rFonts w:eastAsia="Calibri" w:cstheme="minorHAnsi"/>
          <w:szCs w:val="24"/>
        </w:rPr>
        <w:tab/>
        <w:t>the Standardization Sector Strategic Objectives and goals and their implementation criteria in Annex 1 of Resolution 71 (Dubai, 2018</w:t>
      </w:r>
      <w:proofErr w:type="gramStart"/>
      <w:r w:rsidRPr="002C272D">
        <w:rPr>
          <w:rFonts w:eastAsia="Calibri" w:cstheme="minorHAnsi"/>
          <w:szCs w:val="24"/>
        </w:rPr>
        <w:t>);</w:t>
      </w:r>
      <w:proofErr w:type="gramEnd"/>
    </w:p>
    <w:p w14:paraId="16784ED6"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c)</w:t>
      </w:r>
      <w:r w:rsidRPr="002C272D">
        <w:rPr>
          <w:rFonts w:eastAsia="Calibri" w:cstheme="minorHAnsi"/>
          <w:szCs w:val="24"/>
        </w:rPr>
        <w:tab/>
        <w:t>Resolution 122 (Rev. Guadalajara, 2010) of the Plenipotentiary Conference, on the evolving role of the World Telecommunication Standardization Assembly,</w:t>
      </w:r>
    </w:p>
    <w:p w14:paraId="20752C3B" w14:textId="77777777"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recognizing</w:t>
      </w:r>
    </w:p>
    <w:p w14:paraId="4A2E87A9" w14:textId="77777777" w:rsidR="00F8236B" w:rsidRPr="002C272D" w:rsidRDefault="00F8236B" w:rsidP="003D7BA3">
      <w:pPr>
        <w:spacing w:line="240" w:lineRule="auto"/>
        <w:rPr>
          <w:rFonts w:eastAsia="SimSun" w:cstheme="minorHAnsi"/>
          <w:szCs w:val="24"/>
          <w:shd w:val="clear" w:color="auto" w:fill="FFFFFF"/>
        </w:rPr>
      </w:pPr>
      <w:r w:rsidRPr="002C272D">
        <w:rPr>
          <w:rFonts w:eastAsia="Calibri" w:cstheme="minorHAnsi"/>
          <w:szCs w:val="24"/>
        </w:rPr>
        <w:t>a)</w:t>
      </w:r>
      <w:r w:rsidRPr="002C272D">
        <w:rPr>
          <w:rFonts w:eastAsia="Calibri" w:cstheme="minorHAnsi"/>
          <w:szCs w:val="24"/>
        </w:rPr>
        <w:tab/>
        <w:t xml:space="preserve">that technological, market and regulatory changes have thoroughly transformed the telecommunications/ICT sector, </w:t>
      </w:r>
      <w:r w:rsidRPr="002C272D">
        <w:rPr>
          <w:rFonts w:eastAsia="SimSun" w:cstheme="minorHAnsi"/>
          <w:szCs w:val="24"/>
          <w:shd w:val="clear" w:color="auto" w:fill="FFFFFF"/>
        </w:rPr>
        <w:t xml:space="preserve">underscoring the need to re-evaluate ITU-T’s standardization functions and structure to ensure that ITU-T is capable of delivering high-quality, demand-driven, international standards developed in line with the principles of global connectivity, openness, affordability, reliability, interoperability and </w:t>
      </w:r>
      <w:proofErr w:type="gramStart"/>
      <w:r w:rsidRPr="002C272D">
        <w:rPr>
          <w:rFonts w:eastAsia="SimSun" w:cstheme="minorHAnsi"/>
          <w:szCs w:val="24"/>
          <w:shd w:val="clear" w:color="auto" w:fill="FFFFFF"/>
        </w:rPr>
        <w:t>security;</w:t>
      </w:r>
      <w:proofErr w:type="gramEnd"/>
    </w:p>
    <w:p w14:paraId="76172905"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b)</w:t>
      </w:r>
      <w:r w:rsidRPr="002C272D">
        <w:rPr>
          <w:rFonts w:eastAsia="Calibri" w:cstheme="minorHAnsi"/>
          <w:szCs w:val="24"/>
        </w:rPr>
        <w:tab/>
        <w:t xml:space="preserve">that the Rapporteur Groups of the Telecommunication Standardization Advisory Group (TSAG), with limited mandate, have routinely examined the existing working methods and Study Group </w:t>
      </w:r>
      <w:proofErr w:type="gramStart"/>
      <w:r w:rsidRPr="002C272D">
        <w:rPr>
          <w:rFonts w:eastAsia="Calibri" w:cstheme="minorHAnsi"/>
          <w:szCs w:val="24"/>
        </w:rPr>
        <w:t>structure;</w:t>
      </w:r>
      <w:proofErr w:type="gramEnd"/>
    </w:p>
    <w:p w14:paraId="718DA1B8"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c</w:t>
      </w:r>
      <w:r w:rsidRPr="002C272D">
        <w:rPr>
          <w:rFonts w:eastAsia="Calibri" w:cstheme="minorHAnsi"/>
          <w:color w:val="000000"/>
          <w:szCs w:val="24"/>
        </w:rPr>
        <w:t>)</w:t>
      </w:r>
      <w:r w:rsidRPr="002C272D">
        <w:rPr>
          <w:rFonts w:eastAsia="Calibri" w:cstheme="minorHAnsi"/>
          <w:color w:val="000000"/>
          <w:szCs w:val="24"/>
        </w:rPr>
        <w:tab/>
        <w:t xml:space="preserve">that, notwithstanding minor changes to Study Group structure and working methods, the ITU-T has not undertaken a major restructure and reform since 1998 pursuant to ITU Resolution 74 (Minneapolis 1998) which was </w:t>
      </w:r>
      <w:r w:rsidRPr="002C272D">
        <w:rPr>
          <w:rFonts w:cstheme="minorHAnsi"/>
          <w:color w:val="000000"/>
          <w:szCs w:val="24"/>
          <w:lang w:val="en-CA"/>
        </w:rPr>
        <w:t xml:space="preserve">implemented by the subsequent Assemblies and </w:t>
      </w:r>
      <w:proofErr w:type="gramStart"/>
      <w:r w:rsidRPr="002C272D">
        <w:rPr>
          <w:rFonts w:cstheme="minorHAnsi"/>
          <w:color w:val="000000"/>
          <w:szCs w:val="24"/>
          <w:lang w:val="en-CA"/>
        </w:rPr>
        <w:t>Conferences</w:t>
      </w:r>
      <w:r w:rsidRPr="002C272D">
        <w:rPr>
          <w:rFonts w:eastAsia="Calibri" w:cstheme="minorHAnsi"/>
          <w:color w:val="000000"/>
          <w:szCs w:val="24"/>
        </w:rPr>
        <w:t>;</w:t>
      </w:r>
      <w:proofErr w:type="gramEnd"/>
    </w:p>
    <w:p w14:paraId="61820840"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d)</w:t>
      </w:r>
      <w:r w:rsidRPr="002C272D">
        <w:rPr>
          <w:rFonts w:eastAsia="Calibri" w:cstheme="minorHAnsi"/>
          <w:szCs w:val="24"/>
        </w:rPr>
        <w:tab/>
        <w:t xml:space="preserve">that WTSA-20 is well positioned to initiate a thorough examination of the fundamental attributes of ITU-T’s standardization functions, Study Group structure, working methods, standardization strategies and the future role of ITU-T in global standards </w:t>
      </w:r>
      <w:proofErr w:type="gramStart"/>
      <w:r w:rsidRPr="002C272D">
        <w:rPr>
          <w:rFonts w:eastAsia="Calibri" w:cstheme="minorHAnsi"/>
          <w:szCs w:val="24"/>
        </w:rPr>
        <w:t>development;</w:t>
      </w:r>
      <w:proofErr w:type="gramEnd"/>
    </w:p>
    <w:p w14:paraId="54837B8E"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e)</w:t>
      </w:r>
      <w:r w:rsidRPr="002C272D">
        <w:rPr>
          <w:rFonts w:eastAsia="Calibri" w:cstheme="minorHAnsi"/>
          <w:szCs w:val="24"/>
        </w:rPr>
        <w:tab/>
        <w:t xml:space="preserve">that such examination of the standardization functions and structure should find measures to enhance its strengths to meet the standardization needs of all Member States and Sector Members, Associates and </w:t>
      </w:r>
      <w:proofErr w:type="gramStart"/>
      <w:r w:rsidRPr="002C272D">
        <w:rPr>
          <w:rFonts w:eastAsia="Calibri" w:cstheme="minorHAnsi"/>
          <w:szCs w:val="24"/>
        </w:rPr>
        <w:t>Academia;</w:t>
      </w:r>
      <w:proofErr w:type="gramEnd"/>
    </w:p>
    <w:p w14:paraId="5327DD89"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f)</w:t>
      </w:r>
      <w:r w:rsidRPr="002C272D">
        <w:rPr>
          <w:rFonts w:eastAsia="Calibri" w:cstheme="minorHAnsi"/>
          <w:szCs w:val="24"/>
        </w:rPr>
        <w:tab/>
        <w:t xml:space="preserve">that such examination should </w:t>
      </w:r>
      <w:proofErr w:type="gramStart"/>
      <w:r w:rsidRPr="002C272D">
        <w:rPr>
          <w:rFonts w:eastAsia="Calibri" w:cstheme="minorHAnsi"/>
          <w:szCs w:val="24"/>
        </w:rPr>
        <w:t>take into account</w:t>
      </w:r>
      <w:proofErr w:type="gramEnd"/>
      <w:r w:rsidRPr="002C272D">
        <w:rPr>
          <w:rFonts w:eastAsia="Calibri" w:cstheme="minorHAnsi"/>
          <w:szCs w:val="24"/>
        </w:rPr>
        <w:t>:</w:t>
      </w:r>
    </w:p>
    <w:p w14:paraId="3B6AC0A3" w14:textId="77777777" w:rsidR="00F8236B" w:rsidRPr="002C272D" w:rsidRDefault="00F8236B">
      <w:pPr>
        <w:pStyle w:val="enumlev1"/>
        <w:numPr>
          <w:ilvl w:val="0"/>
          <w:numId w:val="3"/>
        </w:numPr>
        <w:tabs>
          <w:tab w:val="clear" w:pos="794"/>
          <w:tab w:val="clear" w:pos="1191"/>
          <w:tab w:val="clear" w:pos="1588"/>
          <w:tab w:val="clear" w:pos="1985"/>
          <w:tab w:val="left" w:pos="1134"/>
          <w:tab w:val="left" w:pos="1871"/>
          <w:tab w:val="left" w:pos="2608"/>
          <w:tab w:val="left" w:pos="3345"/>
        </w:tabs>
        <w:rPr>
          <w:rFonts w:asciiTheme="minorHAnsi" w:eastAsia="Calibri" w:hAnsiTheme="minorHAnsi" w:cstheme="minorHAnsi"/>
          <w:szCs w:val="24"/>
        </w:rPr>
      </w:pPr>
      <w:r w:rsidRPr="002C272D">
        <w:rPr>
          <w:rFonts w:asciiTheme="minorHAnsi" w:eastAsia="Calibri" w:hAnsiTheme="minorHAnsi" w:cstheme="minorHAnsi"/>
          <w:szCs w:val="24"/>
        </w:rPr>
        <w:t xml:space="preserve">standardization attributes that provide for an efficient, fair and transparent process for the rapid development of high-quality, demand-driven, consensus-based voluntary standards, giving consideration and accommodation to all views and </w:t>
      </w:r>
      <w:proofErr w:type="gramStart"/>
      <w:r w:rsidRPr="002C272D">
        <w:rPr>
          <w:rFonts w:asciiTheme="minorHAnsi" w:eastAsia="Calibri" w:hAnsiTheme="minorHAnsi" w:cstheme="minorHAnsi"/>
          <w:szCs w:val="24"/>
        </w:rPr>
        <w:t>concerns;</w:t>
      </w:r>
      <w:proofErr w:type="gramEnd"/>
    </w:p>
    <w:p w14:paraId="096D0E53" w14:textId="77777777" w:rsidR="00F8236B" w:rsidRPr="002C272D" w:rsidRDefault="00F8236B">
      <w:pPr>
        <w:pStyle w:val="enumlev1"/>
        <w:numPr>
          <w:ilvl w:val="0"/>
          <w:numId w:val="3"/>
        </w:numPr>
        <w:tabs>
          <w:tab w:val="clear" w:pos="794"/>
          <w:tab w:val="clear" w:pos="1191"/>
          <w:tab w:val="clear" w:pos="1588"/>
          <w:tab w:val="clear" w:pos="1985"/>
          <w:tab w:val="left" w:pos="1134"/>
          <w:tab w:val="left" w:pos="1871"/>
          <w:tab w:val="left" w:pos="2608"/>
          <w:tab w:val="left" w:pos="3345"/>
        </w:tabs>
        <w:rPr>
          <w:rFonts w:asciiTheme="minorHAnsi" w:eastAsia="Calibri" w:hAnsiTheme="minorHAnsi" w:cstheme="minorHAnsi"/>
          <w:szCs w:val="24"/>
        </w:rPr>
      </w:pPr>
      <w:r w:rsidRPr="002C272D">
        <w:rPr>
          <w:rFonts w:asciiTheme="minorHAnsi" w:eastAsia="Calibri" w:hAnsiTheme="minorHAnsi" w:cstheme="minorHAnsi"/>
          <w:szCs w:val="24"/>
        </w:rPr>
        <w:t xml:space="preserve">implementation criteria for ITU activities that adhere to ITU values, promote efficiency, add value, have maximum impact and tangible </w:t>
      </w:r>
      <w:proofErr w:type="gramStart"/>
      <w:r w:rsidRPr="002C272D">
        <w:rPr>
          <w:rFonts w:asciiTheme="minorHAnsi" w:eastAsia="Calibri" w:hAnsiTheme="minorHAnsi" w:cstheme="minorHAnsi"/>
          <w:szCs w:val="24"/>
        </w:rPr>
        <w:t>results</w:t>
      </w:r>
      <w:proofErr w:type="gramEnd"/>
      <w:r w:rsidRPr="002C272D">
        <w:rPr>
          <w:rFonts w:asciiTheme="minorHAnsi" w:eastAsia="Calibri" w:hAnsiTheme="minorHAnsi" w:cstheme="minorHAnsi"/>
          <w:szCs w:val="24"/>
        </w:rPr>
        <w:t xml:space="preserve"> and meet the needs of ITU Membership; and</w:t>
      </w:r>
    </w:p>
    <w:p w14:paraId="37CB4937" w14:textId="77777777" w:rsidR="00F8236B" w:rsidRPr="002C272D" w:rsidRDefault="00F8236B">
      <w:pPr>
        <w:pStyle w:val="enumlev1"/>
        <w:numPr>
          <w:ilvl w:val="0"/>
          <w:numId w:val="3"/>
        </w:numPr>
        <w:tabs>
          <w:tab w:val="clear" w:pos="794"/>
          <w:tab w:val="clear" w:pos="1191"/>
          <w:tab w:val="clear" w:pos="1588"/>
          <w:tab w:val="clear" w:pos="1985"/>
          <w:tab w:val="left" w:pos="1134"/>
          <w:tab w:val="left" w:pos="1871"/>
          <w:tab w:val="left" w:pos="2608"/>
          <w:tab w:val="left" w:pos="3345"/>
        </w:tabs>
        <w:rPr>
          <w:rFonts w:asciiTheme="minorHAnsi" w:eastAsia="SimSun" w:hAnsiTheme="minorHAnsi" w:cstheme="minorHAnsi"/>
          <w:color w:val="000000"/>
          <w:szCs w:val="24"/>
          <w:shd w:val="clear" w:color="auto" w:fill="FFFFFF"/>
          <w:lang w:eastAsia="ja-JP"/>
        </w:rPr>
      </w:pPr>
      <w:r w:rsidRPr="002C272D">
        <w:rPr>
          <w:rFonts w:asciiTheme="minorHAnsi" w:eastAsia="Calibri" w:hAnsiTheme="minorHAnsi" w:cstheme="minorHAnsi"/>
          <w:color w:val="000000"/>
          <w:szCs w:val="24"/>
        </w:rPr>
        <w:t>ITU-T’s commitment under Resolution 123 (Rev. Dubai, 2018) on Bridging the Standardization Gap,</w:t>
      </w:r>
      <w:r w:rsidRPr="002C272D">
        <w:rPr>
          <w:rFonts w:asciiTheme="minorHAnsi" w:hAnsiTheme="minorHAnsi" w:cstheme="minorHAnsi"/>
          <w:color w:val="000000"/>
          <w:szCs w:val="24"/>
        </w:rPr>
        <w:t xml:space="preserve"> which instructs the Secretary General and the Directors of the three </w:t>
      </w:r>
      <w:r w:rsidRPr="002C272D">
        <w:rPr>
          <w:rFonts w:asciiTheme="minorHAnsi" w:hAnsiTheme="minorHAnsi" w:cstheme="minorHAnsi"/>
          <w:color w:val="000000"/>
          <w:szCs w:val="24"/>
        </w:rPr>
        <w:lastRenderedPageBreak/>
        <w:t>Bureaus to work closely to step up actions intended and to reduce the standardization gap between developing and developed countries,</w:t>
      </w:r>
    </w:p>
    <w:p w14:paraId="0CC48C44" w14:textId="77777777"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resolves</w:t>
      </w:r>
    </w:p>
    <w:p w14:paraId="6B45B28A"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1</w:t>
      </w:r>
      <w:r w:rsidRPr="002C272D">
        <w:rPr>
          <w:rFonts w:eastAsia="Calibri" w:cstheme="minorHAnsi"/>
          <w:szCs w:val="24"/>
        </w:rPr>
        <w:tab/>
        <w:t xml:space="preserve">to examine ITU-T’s standardization activities with respect to standardization attributes with a view to ensuring that they reflect an efficient, fair and transparent process capable of developing high-quality, demand-driven, timely, consensus-based, voluntary international telecommunication/ICT </w:t>
      </w:r>
      <w:proofErr w:type="gramStart"/>
      <w:r w:rsidRPr="002C272D">
        <w:rPr>
          <w:rFonts w:eastAsia="Calibri" w:cstheme="minorHAnsi"/>
          <w:szCs w:val="24"/>
        </w:rPr>
        <w:t>standards;</w:t>
      </w:r>
      <w:proofErr w:type="gramEnd"/>
      <w:r w:rsidRPr="002C272D">
        <w:rPr>
          <w:rFonts w:eastAsia="Calibri" w:cstheme="minorHAnsi"/>
          <w:szCs w:val="24"/>
        </w:rPr>
        <w:t xml:space="preserve"> </w:t>
      </w:r>
    </w:p>
    <w:p w14:paraId="6BDF4DEB"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2</w:t>
      </w:r>
      <w:r w:rsidRPr="002C272D">
        <w:rPr>
          <w:rFonts w:eastAsia="Calibri" w:cstheme="minorHAnsi"/>
          <w:szCs w:val="24"/>
        </w:rPr>
        <w:tab/>
        <w:t xml:space="preserve">to examine ITU-T’s standardization activities with respect to implementation criteria with a view to further evaluating ITU-T’s structure, working methods, objectives and </w:t>
      </w:r>
      <w:proofErr w:type="gramStart"/>
      <w:r w:rsidRPr="002C272D">
        <w:rPr>
          <w:rFonts w:eastAsia="Calibri" w:cstheme="minorHAnsi"/>
          <w:szCs w:val="24"/>
        </w:rPr>
        <w:t>goals;</w:t>
      </w:r>
      <w:proofErr w:type="gramEnd"/>
      <w:r w:rsidRPr="002C272D">
        <w:rPr>
          <w:rFonts w:eastAsia="Calibri" w:cstheme="minorHAnsi"/>
          <w:szCs w:val="24"/>
        </w:rPr>
        <w:t xml:space="preserve"> </w:t>
      </w:r>
    </w:p>
    <w:p w14:paraId="70BD1EE3"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3</w:t>
      </w:r>
      <w:r w:rsidRPr="002C272D">
        <w:rPr>
          <w:rFonts w:eastAsia="Calibri" w:cstheme="minorHAnsi"/>
          <w:szCs w:val="24"/>
        </w:rPr>
        <w:tab/>
        <w:t>to undertake necessary steps including collection, analysis and interpretation of the data needed to address questions in the Annex of this Resolution in order to promote the continued evolution of the ITU-</w:t>
      </w:r>
      <w:proofErr w:type="gramStart"/>
      <w:r w:rsidRPr="002C272D">
        <w:rPr>
          <w:rFonts w:eastAsia="Calibri" w:cstheme="minorHAnsi"/>
          <w:szCs w:val="24"/>
        </w:rPr>
        <w:t>T;</w:t>
      </w:r>
      <w:proofErr w:type="gramEnd"/>
    </w:p>
    <w:p w14:paraId="2256E7AC"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4</w:t>
      </w:r>
      <w:r w:rsidRPr="002C272D">
        <w:rPr>
          <w:rFonts w:eastAsia="Calibri" w:cstheme="minorHAnsi"/>
          <w:szCs w:val="24"/>
        </w:rPr>
        <w:tab/>
        <w:t>to take further action as appropriate,</w:t>
      </w:r>
    </w:p>
    <w:p w14:paraId="7B02790A" w14:textId="77777777"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 xml:space="preserve">invites the Council </w:t>
      </w:r>
    </w:p>
    <w:p w14:paraId="28EA6062"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1</w:t>
      </w:r>
      <w:r w:rsidRPr="002C272D">
        <w:rPr>
          <w:rFonts w:eastAsia="Calibri" w:cstheme="minorHAnsi"/>
          <w:szCs w:val="24"/>
        </w:rPr>
        <w:tab/>
        <w:t xml:space="preserve">to appoint an independent external consultant within the budgetary constraints of the Union and develop a Terms of Reference that directs the consultant to collect, compile and analyze metrics in order to address the questions identified in the Annex to this </w:t>
      </w:r>
      <w:proofErr w:type="gramStart"/>
      <w:r w:rsidRPr="002C272D">
        <w:rPr>
          <w:rFonts w:eastAsia="Calibri" w:cstheme="minorHAnsi"/>
          <w:szCs w:val="24"/>
        </w:rPr>
        <w:t>Resolution;</w:t>
      </w:r>
      <w:proofErr w:type="gramEnd"/>
    </w:p>
    <w:p w14:paraId="42804ADF"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2</w:t>
      </w:r>
      <w:r w:rsidRPr="002C272D">
        <w:rPr>
          <w:rFonts w:eastAsia="Calibri" w:cstheme="minorHAnsi"/>
          <w:szCs w:val="24"/>
        </w:rPr>
        <w:tab/>
        <w:t xml:space="preserve">to instruct the independent consultant to present a report with the relevant underlying data, methodologies and analysis and recommendations based on its findings to Council; and </w:t>
      </w:r>
    </w:p>
    <w:p w14:paraId="4EC51A7D"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3</w:t>
      </w:r>
      <w:r w:rsidRPr="002C272D">
        <w:rPr>
          <w:rFonts w:eastAsia="Calibri" w:cstheme="minorHAnsi"/>
          <w:szCs w:val="24"/>
        </w:rPr>
        <w:tab/>
        <w:t>to instruct TSAG to review the report and recommendations for further action and consideration,</w:t>
      </w:r>
    </w:p>
    <w:p w14:paraId="7A960034" w14:textId="77777777"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instructs the Telecommunication Standardization Advisory Group</w:t>
      </w:r>
    </w:p>
    <w:p w14:paraId="6792C014" w14:textId="77777777" w:rsidR="00F8236B" w:rsidRPr="002C272D" w:rsidRDefault="00F8236B" w:rsidP="003D7BA3">
      <w:pPr>
        <w:pStyle w:val="ListParagraph"/>
        <w:numPr>
          <w:ilvl w:val="0"/>
          <w:numId w:val="4"/>
        </w:numPr>
        <w:autoSpaceDE w:val="0"/>
        <w:autoSpaceDN w:val="0"/>
        <w:adjustRightInd w:val="0"/>
        <w:spacing w:after="160"/>
        <w:ind w:left="0" w:firstLine="0"/>
        <w:contextualSpacing/>
        <w:jc w:val="both"/>
        <w:rPr>
          <w:rFonts w:eastAsia="Calibri" w:cstheme="minorHAnsi"/>
          <w:sz w:val="24"/>
          <w:szCs w:val="24"/>
        </w:rPr>
      </w:pPr>
      <w:r w:rsidRPr="002C272D">
        <w:rPr>
          <w:rFonts w:eastAsia="Calibri" w:cstheme="minorHAnsi"/>
          <w:sz w:val="24"/>
          <w:szCs w:val="24"/>
        </w:rPr>
        <w:t xml:space="preserve">to review, through an Expert Group or other appropriate mechanism, the report and recommendations of the independent consultant pursuant to </w:t>
      </w:r>
      <w:r w:rsidRPr="002C272D">
        <w:rPr>
          <w:rFonts w:eastAsia="Calibri" w:cstheme="minorHAnsi"/>
          <w:i/>
          <w:iCs/>
          <w:sz w:val="24"/>
          <w:szCs w:val="24"/>
        </w:rPr>
        <w:t>invites</w:t>
      </w:r>
      <w:r w:rsidRPr="002C272D">
        <w:rPr>
          <w:rFonts w:eastAsia="Calibri" w:cstheme="minorHAnsi"/>
          <w:sz w:val="24"/>
          <w:szCs w:val="24"/>
        </w:rPr>
        <w:t xml:space="preserve"> </w:t>
      </w:r>
      <w:proofErr w:type="gramStart"/>
      <w:r w:rsidRPr="002C272D">
        <w:rPr>
          <w:rFonts w:eastAsia="Calibri" w:cstheme="minorHAnsi"/>
          <w:sz w:val="24"/>
          <w:szCs w:val="24"/>
        </w:rPr>
        <w:t>above;</w:t>
      </w:r>
      <w:proofErr w:type="gramEnd"/>
      <w:r w:rsidRPr="002C272D">
        <w:rPr>
          <w:rFonts w:eastAsia="Calibri" w:cstheme="minorHAnsi"/>
          <w:sz w:val="24"/>
          <w:szCs w:val="24"/>
        </w:rPr>
        <w:t xml:space="preserve"> </w:t>
      </w:r>
    </w:p>
    <w:p w14:paraId="03DF9C68" w14:textId="77777777" w:rsidR="00F8236B" w:rsidRPr="002C272D" w:rsidRDefault="00F8236B">
      <w:pPr>
        <w:pStyle w:val="ListParagraph"/>
        <w:ind w:left="0"/>
        <w:jc w:val="both"/>
        <w:rPr>
          <w:rFonts w:eastAsia="Calibri" w:cstheme="minorHAnsi"/>
          <w:i/>
          <w:iCs/>
          <w:sz w:val="24"/>
          <w:szCs w:val="24"/>
        </w:rPr>
      </w:pPr>
    </w:p>
    <w:p w14:paraId="347FECCB" w14:textId="77777777" w:rsidR="00F8236B" w:rsidRPr="002C272D" w:rsidRDefault="00F8236B" w:rsidP="003D7BA3">
      <w:pPr>
        <w:pStyle w:val="ListParagraph"/>
        <w:numPr>
          <w:ilvl w:val="0"/>
          <w:numId w:val="4"/>
        </w:numPr>
        <w:ind w:left="0" w:firstLine="0"/>
        <w:contextualSpacing/>
        <w:jc w:val="both"/>
        <w:rPr>
          <w:rFonts w:eastAsia="Calibri" w:cstheme="minorHAnsi"/>
          <w:sz w:val="24"/>
          <w:szCs w:val="24"/>
        </w:rPr>
      </w:pPr>
      <w:r w:rsidRPr="002C272D">
        <w:rPr>
          <w:rFonts w:eastAsia="Calibri" w:cstheme="minorHAnsi"/>
          <w:sz w:val="24"/>
          <w:szCs w:val="24"/>
        </w:rPr>
        <w:t xml:space="preserve">to prepare a report and recommendations to present to Council for further action and consideration </w:t>
      </w:r>
      <w:proofErr w:type="gramStart"/>
      <w:r w:rsidRPr="002C272D">
        <w:rPr>
          <w:rFonts w:eastAsia="Calibri" w:cstheme="minorHAnsi"/>
          <w:sz w:val="24"/>
          <w:szCs w:val="24"/>
        </w:rPr>
        <w:t>and;</w:t>
      </w:r>
      <w:proofErr w:type="gramEnd"/>
    </w:p>
    <w:p w14:paraId="2AABE544" w14:textId="77777777" w:rsidR="00F8236B" w:rsidRPr="002C272D" w:rsidRDefault="00F8236B">
      <w:pPr>
        <w:pStyle w:val="ListParagraph"/>
        <w:ind w:left="0"/>
        <w:jc w:val="both"/>
        <w:rPr>
          <w:rFonts w:eastAsia="Calibri" w:cstheme="minorHAnsi"/>
          <w:iCs/>
          <w:sz w:val="24"/>
          <w:szCs w:val="24"/>
        </w:rPr>
      </w:pPr>
    </w:p>
    <w:p w14:paraId="1F871A0D" w14:textId="77777777" w:rsidR="00F8236B" w:rsidRPr="002C272D" w:rsidRDefault="00F8236B" w:rsidP="003D7BA3">
      <w:pPr>
        <w:pStyle w:val="ListParagraph"/>
        <w:numPr>
          <w:ilvl w:val="0"/>
          <w:numId w:val="4"/>
        </w:numPr>
        <w:ind w:left="0" w:firstLine="0"/>
        <w:contextualSpacing/>
        <w:jc w:val="both"/>
        <w:rPr>
          <w:rFonts w:eastAsia="Calibri" w:cstheme="minorHAnsi"/>
          <w:iCs/>
          <w:sz w:val="24"/>
          <w:szCs w:val="24"/>
        </w:rPr>
      </w:pPr>
      <w:r w:rsidRPr="002C272D">
        <w:rPr>
          <w:rFonts w:eastAsia="Calibri" w:cstheme="minorHAnsi"/>
          <w:iCs/>
          <w:sz w:val="24"/>
          <w:szCs w:val="24"/>
        </w:rPr>
        <w:t>to present a report to WTSA-24 on the activities associated with this Resolution,</w:t>
      </w:r>
    </w:p>
    <w:p w14:paraId="1CFF2EFB" w14:textId="77777777" w:rsidR="00F8236B" w:rsidRPr="002C272D" w:rsidRDefault="00F8236B" w:rsidP="003D7BA3">
      <w:pPr>
        <w:spacing w:line="240" w:lineRule="auto"/>
        <w:rPr>
          <w:rFonts w:eastAsia="Calibri" w:cstheme="minorHAnsi"/>
          <w:i/>
          <w:iCs/>
          <w:szCs w:val="24"/>
        </w:rPr>
      </w:pPr>
    </w:p>
    <w:p w14:paraId="04BA06E3" w14:textId="77777777"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 xml:space="preserve">instructs the Director of the Telecommunications Standardization Bureau </w:t>
      </w:r>
    </w:p>
    <w:p w14:paraId="6FA6F2AD"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1</w:t>
      </w:r>
      <w:r w:rsidRPr="002C272D">
        <w:rPr>
          <w:rFonts w:eastAsia="Calibri" w:cstheme="minorHAnsi"/>
          <w:szCs w:val="24"/>
        </w:rPr>
        <w:tab/>
        <w:t xml:space="preserve">to provide the necessary assistance, including but not limited to access to existing metrics, to the work of the independent consultant pursuant to </w:t>
      </w:r>
      <w:r w:rsidRPr="002C272D">
        <w:rPr>
          <w:rFonts w:eastAsia="Calibri" w:cstheme="minorHAnsi"/>
          <w:i/>
          <w:iCs/>
          <w:szCs w:val="24"/>
        </w:rPr>
        <w:t>invites</w:t>
      </w:r>
      <w:r w:rsidRPr="002C272D">
        <w:rPr>
          <w:rFonts w:eastAsia="Calibri" w:cstheme="minorHAnsi"/>
          <w:szCs w:val="24"/>
        </w:rPr>
        <w:t xml:space="preserve"> </w:t>
      </w:r>
      <w:proofErr w:type="gramStart"/>
      <w:r w:rsidRPr="002C272D">
        <w:rPr>
          <w:rFonts w:eastAsia="Calibri" w:cstheme="minorHAnsi"/>
          <w:szCs w:val="24"/>
        </w:rPr>
        <w:t>above;</w:t>
      </w:r>
      <w:proofErr w:type="gramEnd"/>
    </w:p>
    <w:p w14:paraId="72B8CA3C"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t>2</w:t>
      </w:r>
      <w:r w:rsidRPr="002C272D">
        <w:rPr>
          <w:rFonts w:eastAsia="Calibri" w:cstheme="minorHAnsi"/>
          <w:szCs w:val="24"/>
        </w:rPr>
        <w:tab/>
        <w:t>to provide the necessary assistance to the TSAG in the implementation of this Resolution,</w:t>
      </w:r>
    </w:p>
    <w:p w14:paraId="36335583" w14:textId="77777777"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invites</w:t>
      </w:r>
    </w:p>
    <w:p w14:paraId="6A6443DA" w14:textId="77777777" w:rsidR="00F8236B" w:rsidRPr="002C272D" w:rsidRDefault="00F8236B" w:rsidP="003D7BA3">
      <w:pPr>
        <w:spacing w:line="240" w:lineRule="auto"/>
        <w:rPr>
          <w:rFonts w:eastAsia="Calibri" w:cstheme="minorHAnsi"/>
          <w:i/>
          <w:iCs/>
          <w:szCs w:val="24"/>
        </w:rPr>
      </w:pPr>
      <w:r w:rsidRPr="002C272D">
        <w:rPr>
          <w:rFonts w:eastAsia="Calibri" w:cstheme="minorHAnsi"/>
          <w:szCs w:val="24"/>
        </w:rPr>
        <w:t>1</w:t>
      </w:r>
      <w:r w:rsidRPr="002C272D">
        <w:rPr>
          <w:rFonts w:eastAsia="Calibri" w:cstheme="minorHAnsi"/>
          <w:szCs w:val="24"/>
        </w:rPr>
        <w:tab/>
        <w:t xml:space="preserve">the Radiocommunications Advisory Group (RAG) and Telecommunication Development Advisory Group (TDAG) to contribute to the implementation of this Resolution, as </w:t>
      </w:r>
      <w:proofErr w:type="gramStart"/>
      <w:r w:rsidRPr="002C272D">
        <w:rPr>
          <w:rFonts w:eastAsia="Calibri" w:cstheme="minorHAnsi"/>
          <w:szCs w:val="24"/>
        </w:rPr>
        <w:t>appropriate;</w:t>
      </w:r>
      <w:proofErr w:type="gramEnd"/>
    </w:p>
    <w:p w14:paraId="238BE40E" w14:textId="77777777" w:rsidR="00F8236B" w:rsidRPr="002C272D" w:rsidRDefault="00F8236B" w:rsidP="003D7BA3">
      <w:pPr>
        <w:spacing w:line="240" w:lineRule="auto"/>
        <w:rPr>
          <w:rFonts w:eastAsia="Calibri" w:cstheme="minorHAnsi"/>
          <w:i/>
          <w:iCs/>
          <w:szCs w:val="24"/>
        </w:rPr>
      </w:pPr>
      <w:r w:rsidRPr="002C272D">
        <w:rPr>
          <w:rFonts w:eastAsia="Calibri" w:cstheme="minorHAnsi"/>
          <w:szCs w:val="24"/>
        </w:rPr>
        <w:t>2</w:t>
      </w:r>
      <w:r w:rsidRPr="002C272D">
        <w:rPr>
          <w:rFonts w:eastAsia="Calibri" w:cstheme="minorHAnsi"/>
          <w:szCs w:val="24"/>
        </w:rPr>
        <w:tab/>
        <w:t>ITU Members to participate actively in the implementing this Resolution.</w:t>
      </w:r>
    </w:p>
    <w:p w14:paraId="48B8A91A" w14:textId="77777777" w:rsidR="00F8236B" w:rsidRPr="002C272D" w:rsidRDefault="00F8236B" w:rsidP="003D7BA3">
      <w:pPr>
        <w:spacing w:line="240" w:lineRule="auto"/>
        <w:rPr>
          <w:rFonts w:eastAsia="Calibri" w:cstheme="minorHAnsi"/>
          <w:szCs w:val="24"/>
        </w:rPr>
      </w:pPr>
      <w:r w:rsidRPr="002C272D">
        <w:rPr>
          <w:rFonts w:eastAsia="Calibri" w:cstheme="minorHAnsi"/>
          <w:szCs w:val="24"/>
        </w:rPr>
        <w:br w:type="page"/>
      </w:r>
    </w:p>
    <w:p w14:paraId="6F3C373D" w14:textId="77777777" w:rsidR="00F8236B" w:rsidRPr="002C272D" w:rsidRDefault="00F8236B">
      <w:pPr>
        <w:pStyle w:val="AnnexNo"/>
        <w:rPr>
          <w:rFonts w:asciiTheme="minorHAnsi" w:eastAsia="Calibri" w:hAnsiTheme="minorHAnsi" w:cstheme="minorHAnsi"/>
          <w:sz w:val="24"/>
          <w:szCs w:val="24"/>
        </w:rPr>
      </w:pPr>
      <w:r w:rsidRPr="002C272D">
        <w:rPr>
          <w:rFonts w:asciiTheme="minorHAnsi" w:eastAsia="Calibri" w:hAnsiTheme="minorHAnsi" w:cstheme="minorHAnsi"/>
          <w:sz w:val="24"/>
          <w:szCs w:val="24"/>
        </w:rPr>
        <w:lastRenderedPageBreak/>
        <w:t xml:space="preserve">Annex </w:t>
      </w:r>
      <w:proofErr w:type="gramStart"/>
      <w:r w:rsidRPr="002C272D">
        <w:rPr>
          <w:rFonts w:asciiTheme="minorHAnsi" w:eastAsia="Calibri" w:hAnsiTheme="minorHAnsi" w:cstheme="minorHAnsi"/>
          <w:sz w:val="24"/>
          <w:szCs w:val="24"/>
        </w:rPr>
        <w:t>[( to</w:t>
      </w:r>
      <w:proofErr w:type="gramEnd"/>
      <w:r w:rsidRPr="002C272D">
        <w:rPr>
          <w:rFonts w:asciiTheme="minorHAnsi" w:eastAsia="Calibri" w:hAnsiTheme="minorHAnsi" w:cstheme="minorHAnsi"/>
          <w:sz w:val="24"/>
          <w:szCs w:val="24"/>
        </w:rPr>
        <w:t xml:space="preserve"> Annex 1)]</w:t>
      </w:r>
    </w:p>
    <w:p w14:paraId="74201578" w14:textId="77777777" w:rsidR="00F8236B" w:rsidRPr="002C272D" w:rsidRDefault="00F8236B">
      <w:pPr>
        <w:pStyle w:val="Annextitle"/>
        <w:rPr>
          <w:rFonts w:asciiTheme="minorHAnsi" w:eastAsia="Calibri" w:hAnsiTheme="minorHAnsi" w:cstheme="minorHAnsi"/>
          <w:sz w:val="24"/>
          <w:szCs w:val="24"/>
        </w:rPr>
      </w:pPr>
      <w:r w:rsidRPr="002C272D">
        <w:rPr>
          <w:rFonts w:asciiTheme="minorHAnsi" w:eastAsia="Calibri" w:hAnsiTheme="minorHAnsi" w:cstheme="minorHAnsi"/>
          <w:sz w:val="24"/>
          <w:szCs w:val="24"/>
        </w:rPr>
        <w:t>Questions and Metrics to Analyse ITU-T’s Standardization Objectives, Activities, Outcomes and Goals from 2000 to 2020</w:t>
      </w:r>
    </w:p>
    <w:p w14:paraId="0DE4959B" w14:textId="77777777" w:rsidR="00F8236B" w:rsidRPr="002C272D" w:rsidRDefault="00F8236B">
      <w:pPr>
        <w:pStyle w:val="Normalaftertitle"/>
        <w:rPr>
          <w:rFonts w:asciiTheme="minorHAnsi" w:eastAsia="Calibri" w:hAnsiTheme="minorHAnsi" w:cstheme="minorHAnsi"/>
          <w:szCs w:val="24"/>
        </w:rPr>
      </w:pPr>
      <w:r w:rsidRPr="002C272D">
        <w:rPr>
          <w:rFonts w:asciiTheme="minorHAnsi" w:eastAsia="Calibri" w:hAnsiTheme="minorHAnsi" w:cstheme="minorHAnsi"/>
          <w:szCs w:val="24"/>
        </w:rPr>
        <w:t>The following set of questions and suggested metrics shall inform analysis of ITU-T’s standardization objectives, activities outcomes and goals from 2000-2020. Suggested metrics may be supplemented by additional data deemed useful to answer and analyse the stated questions.</w:t>
      </w:r>
    </w:p>
    <w:p w14:paraId="154C1C46" w14:textId="77777777" w:rsidR="00F8236B" w:rsidRPr="002C272D" w:rsidRDefault="00F8236B" w:rsidP="003D7BA3">
      <w:pPr>
        <w:spacing w:line="240" w:lineRule="auto"/>
        <w:rPr>
          <w:rFonts w:eastAsia="Calibri" w:cstheme="minorHAnsi"/>
          <w:szCs w:val="24"/>
        </w:rPr>
      </w:pPr>
      <w:bookmarkStart w:id="2" w:name="_Hlk36824108"/>
      <w:r w:rsidRPr="002C272D">
        <w:rPr>
          <w:rFonts w:eastAsia="Calibri" w:cstheme="minorHAnsi"/>
          <w:szCs w:val="24"/>
        </w:rPr>
        <w:t xml:space="preserve">The questions listed should serve as the basis for a Terms of Reference for external independent consultant.  The independent external consultant shall present an analysis of these questions and metrics, as well as the underlying data and methodologies used to TSAG and Council.  </w:t>
      </w:r>
    </w:p>
    <w:bookmarkEnd w:id="2"/>
    <w:p w14:paraId="23E56F6A" w14:textId="77777777" w:rsidR="00F8236B" w:rsidRPr="002C272D" w:rsidRDefault="00F8236B" w:rsidP="003D7BA3">
      <w:pPr>
        <w:pStyle w:val="ListParagraph"/>
        <w:numPr>
          <w:ilvl w:val="0"/>
          <w:numId w:val="5"/>
        </w:numPr>
        <w:spacing w:before="120"/>
        <w:ind w:left="720"/>
        <w:rPr>
          <w:rFonts w:eastAsia="SimSun" w:cstheme="minorHAnsi"/>
          <w:sz w:val="24"/>
          <w:szCs w:val="24"/>
        </w:rPr>
      </w:pPr>
      <w:r w:rsidRPr="002C272D">
        <w:rPr>
          <w:rFonts w:cstheme="minorHAnsi"/>
          <w:sz w:val="24"/>
          <w:szCs w:val="24"/>
        </w:rPr>
        <w:t xml:space="preserve">Do ITU-T’s standardization activities reflect high-quality, demand-driven, efficient, cost-effective </w:t>
      </w:r>
      <w:proofErr w:type="gramStart"/>
      <w:r w:rsidRPr="002C272D">
        <w:rPr>
          <w:rFonts w:cstheme="minorHAnsi"/>
          <w:sz w:val="24"/>
          <w:szCs w:val="24"/>
        </w:rPr>
        <w:t>and,</w:t>
      </w:r>
      <w:proofErr w:type="gramEnd"/>
      <w:r w:rsidRPr="002C272D">
        <w:rPr>
          <w:rFonts w:cstheme="minorHAnsi"/>
          <w:sz w:val="24"/>
          <w:szCs w:val="24"/>
        </w:rPr>
        <w:t xml:space="preserve"> timely development of Recommendations?</w:t>
      </w:r>
    </w:p>
    <w:p w14:paraId="33F00203" w14:textId="77777777"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participation, </w:t>
      </w:r>
      <w:proofErr w:type="gramStart"/>
      <w:r w:rsidRPr="002C272D">
        <w:rPr>
          <w:rFonts w:eastAsia="Calibri" w:cstheme="minorHAnsi"/>
          <w:sz w:val="24"/>
          <w:szCs w:val="24"/>
        </w:rPr>
        <w:t>contribution</w:t>
      </w:r>
      <w:proofErr w:type="gramEnd"/>
      <w:r w:rsidRPr="002C272D">
        <w:rPr>
          <w:rFonts w:eastAsia="Calibri" w:cstheme="minorHAnsi"/>
          <w:sz w:val="24"/>
          <w:szCs w:val="24"/>
        </w:rPr>
        <w:t xml:space="preserve"> and leadership by types of membership from 2000 to 2020 for each Study group and related subgroups</w:t>
      </w:r>
    </w:p>
    <w:p w14:paraId="1989F207" w14:textId="77777777"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number of months elapsed between introduction and adoption of Recommendations by Study Groups from 2000 and 2020</w:t>
      </w:r>
    </w:p>
    <w:p w14:paraId="5C16AE37" w14:textId="77777777"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number of liaison statements from other standardization organizations during 2000 and 2020</w:t>
      </w:r>
    </w:p>
    <w:p w14:paraId="6D264C3E" w14:textId="77777777"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number of Recommendations approved using traditional approval process from 2000 to 2020 </w:t>
      </w:r>
    </w:p>
    <w:p w14:paraId="7147E5AD" w14:textId="77777777"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number of test suites developed using ITU-T Recommendations from 2000 to 2020 </w:t>
      </w:r>
    </w:p>
    <w:p w14:paraId="6E430120" w14:textId="77777777" w:rsidR="00F8236B" w:rsidRPr="002C272D" w:rsidRDefault="00F8236B" w:rsidP="003D7BA3">
      <w:pPr>
        <w:numPr>
          <w:ilvl w:val="0"/>
          <w:numId w:val="5"/>
        </w:numPr>
        <w:autoSpaceDE w:val="0"/>
        <w:autoSpaceDN w:val="0"/>
        <w:adjustRightInd w:val="0"/>
        <w:spacing w:before="120" w:after="0" w:line="240" w:lineRule="auto"/>
        <w:ind w:left="720"/>
        <w:jc w:val="both"/>
        <w:rPr>
          <w:rFonts w:eastAsia="Calibri" w:cstheme="minorHAnsi"/>
          <w:szCs w:val="24"/>
        </w:rPr>
      </w:pPr>
      <w:r w:rsidRPr="002C272D">
        <w:rPr>
          <w:rFonts w:eastAsia="Calibri" w:cstheme="minorHAnsi"/>
          <w:szCs w:val="24"/>
        </w:rPr>
        <w:t>What value do ITU-T’s Recommendations add or have significant impact on the ITU Membership?</w:t>
      </w:r>
    </w:p>
    <w:p w14:paraId="1B8F1C64"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downloads by Recommendation from 2000 to 2020</w:t>
      </w:r>
    </w:p>
    <w:p w14:paraId="5C40F43B"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incorporated or adopted by other standardization organizations from 2000 to 2020</w:t>
      </w:r>
    </w:p>
    <w:p w14:paraId="42E65559"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standards essential patents first in ITU-T Recommendations from 2000 to 2020</w:t>
      </w:r>
    </w:p>
    <w:p w14:paraId="19650FFA"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the press from 2000 to 2020</w:t>
      </w:r>
    </w:p>
    <w:p w14:paraId="552298B9"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Member States' laws and regulations as of 2020</w:t>
      </w:r>
    </w:p>
    <w:p w14:paraId="2B49E62C" w14:textId="77777777" w:rsidR="00F8236B" w:rsidRPr="002C272D" w:rsidRDefault="00F8236B" w:rsidP="003D7BA3">
      <w:pPr>
        <w:pStyle w:val="NormalWeb"/>
        <w:numPr>
          <w:ilvl w:val="0"/>
          <w:numId w:val="7"/>
        </w:numPr>
        <w:shd w:val="clear" w:color="auto" w:fill="FFFFFF"/>
        <w:autoSpaceDE w:val="0"/>
        <w:autoSpaceDN w:val="0"/>
        <w:adjustRightInd w:val="0"/>
        <w:contextualSpacing/>
        <w:rPr>
          <w:rFonts w:asciiTheme="minorHAnsi" w:hAnsiTheme="minorHAnsi" w:cstheme="minorHAnsi"/>
        </w:rPr>
      </w:pPr>
      <w:r w:rsidRPr="002C272D">
        <w:rPr>
          <w:rFonts w:asciiTheme="minorHAnsi" w:hAnsiTheme="minorHAnsi" w:cstheme="minorHAnsi"/>
          <w:color w:val="000000"/>
        </w:rPr>
        <w:t>number of ITU-T Recommendations, Guidelines and Reports with policy or regulatory implications between 2000 to 2020</w:t>
      </w:r>
    </w:p>
    <w:p w14:paraId="4D0FEE37"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 xml:space="preserve">number of ITU-T Recommendations cited in Sector Members’ press releases and documentation from 2000 to </w:t>
      </w:r>
      <w:proofErr w:type="gramStart"/>
      <w:r w:rsidRPr="002C272D">
        <w:rPr>
          <w:rFonts w:eastAsia="Calibri" w:cstheme="minorHAnsi"/>
          <w:szCs w:val="24"/>
        </w:rPr>
        <w:t>2020;</w:t>
      </w:r>
      <w:proofErr w:type="gramEnd"/>
    </w:p>
    <w:p w14:paraId="773291B6"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comparable numbers to the above for other SDOs, including but not limited to ISO, IEC, IEEE, IETF, and 3GPP,</w:t>
      </w:r>
    </w:p>
    <w:p w14:paraId="6A0CFC3C"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adopted and implemented by industry from 2000 to 2020,</w:t>
      </w:r>
    </w:p>
    <w:p w14:paraId="0F357339" w14:textId="77777777" w:rsidR="00F8236B" w:rsidRPr="002C272D" w:rsidRDefault="00F8236B" w:rsidP="003D7BA3">
      <w:pPr>
        <w:numPr>
          <w:ilvl w:val="0"/>
          <w:numId w:val="5"/>
        </w:numPr>
        <w:autoSpaceDE w:val="0"/>
        <w:autoSpaceDN w:val="0"/>
        <w:adjustRightInd w:val="0"/>
        <w:spacing w:before="120" w:after="0" w:line="240" w:lineRule="auto"/>
        <w:ind w:left="720"/>
        <w:jc w:val="both"/>
        <w:rPr>
          <w:rFonts w:eastAsia="Calibri" w:cstheme="minorHAnsi"/>
          <w:szCs w:val="24"/>
        </w:rPr>
      </w:pPr>
      <w:r w:rsidRPr="002C272D">
        <w:rPr>
          <w:rFonts w:eastAsia="Calibri" w:cstheme="minorHAnsi"/>
          <w:szCs w:val="24"/>
        </w:rPr>
        <w:t>How does ITU-T cooperate and coordinate with other standardization organizations?</w:t>
      </w:r>
    </w:p>
    <w:p w14:paraId="10921AFD"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liaison statements sent to other standardization organizations from 2000 to 2020</w:t>
      </w:r>
    </w:p>
    <w:p w14:paraId="5022281D"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memoranda of understanding with other SDOs</w:t>
      </w:r>
    </w:p>
    <w:p w14:paraId="4969AFF5"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joint workshops or activities with other SDOs</w:t>
      </w:r>
    </w:p>
    <w:p w14:paraId="76903885"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cstheme="minorHAnsi"/>
          <w:szCs w:val="24"/>
          <w:lang w:val="en-CA"/>
        </w:rPr>
        <w:t>number of standards from other SDOs incorporated or adopted by ITU-T from 2000 to 2020 separated by field/subject</w:t>
      </w:r>
    </w:p>
    <w:p w14:paraId="15D54373" w14:textId="77777777" w:rsidR="00F8236B" w:rsidRPr="002C272D" w:rsidRDefault="00F8236B">
      <w:pPr>
        <w:pStyle w:val="ListParagraph"/>
        <w:numPr>
          <w:ilvl w:val="0"/>
          <w:numId w:val="5"/>
        </w:numPr>
        <w:spacing w:before="120"/>
        <w:ind w:left="630"/>
        <w:rPr>
          <w:rFonts w:eastAsia="Calibri" w:cstheme="minorHAnsi"/>
          <w:sz w:val="24"/>
          <w:szCs w:val="24"/>
        </w:rPr>
      </w:pPr>
      <w:r w:rsidRPr="002C272D">
        <w:rPr>
          <w:rFonts w:eastAsia="Calibri" w:cstheme="minorHAnsi"/>
          <w:sz w:val="24"/>
          <w:szCs w:val="24"/>
        </w:rPr>
        <w:lastRenderedPageBreak/>
        <w:t>How is ITU-T engaged in fulfilling its obligations under Bridging the Standardization Gap (BSG) and what is the impact of these activities?</w:t>
      </w:r>
      <w:bookmarkStart w:id="3" w:name="_Hlk34298871"/>
    </w:p>
    <w:bookmarkEnd w:id="3"/>
    <w:p w14:paraId="31895371"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annual number of participants from developing countries in ITU-T Study Groups, Focus Groups and Rapporteur Groups during 2000 and 2020</w:t>
      </w:r>
    </w:p>
    <w:p w14:paraId="7C52E685"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technical training and workshops organized by ITU-T and the regional offices under Bridging the Standardization Gap (BSG)</w:t>
      </w:r>
    </w:p>
    <w:p w14:paraId="13627FAB"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level of participation and satisfaction regarding ITU-T workshops</w:t>
      </w:r>
    </w:p>
    <w:p w14:paraId="44C886A2"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size of assistance provided to Member States with low and basic standards capability on the National Standards Capability Scale developed by ITU-T</w:t>
      </w:r>
    </w:p>
    <w:p w14:paraId="5BE1C194" w14:textId="77777777"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 xml:space="preserve">cooperation with ITU-D and regional offices regarding capacity building on standards </w:t>
      </w:r>
    </w:p>
    <w:p w14:paraId="7ECC249A" w14:textId="77777777" w:rsidR="00F8236B" w:rsidRPr="002C272D" w:rsidRDefault="00F8236B">
      <w:pPr>
        <w:pStyle w:val="ListParagraph"/>
        <w:numPr>
          <w:ilvl w:val="0"/>
          <w:numId w:val="5"/>
        </w:numPr>
        <w:spacing w:before="120"/>
        <w:ind w:left="630"/>
        <w:rPr>
          <w:rFonts w:eastAsia="Calibri" w:cstheme="minorHAnsi"/>
          <w:sz w:val="24"/>
          <w:szCs w:val="24"/>
        </w:rPr>
      </w:pPr>
      <w:r w:rsidRPr="002C272D">
        <w:rPr>
          <w:rFonts w:eastAsia="Calibri" w:cstheme="minorHAnsi"/>
          <w:sz w:val="24"/>
          <w:szCs w:val="24"/>
        </w:rPr>
        <w:t>How do ITU Membership participate in international SDOs that are engaged in telecommunication/ICT related activities:</w:t>
      </w:r>
    </w:p>
    <w:p w14:paraId="78A51FFA"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participants by developing and developed countries during 2000 and 2020</w:t>
      </w:r>
    </w:p>
    <w:p w14:paraId="71C8B9B8" w14:textId="77777777"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leadership position held by ITU Membership in other SDOs by Region</w:t>
      </w:r>
    </w:p>
    <w:p w14:paraId="3C89CA72" w14:textId="77777777" w:rsidR="00F8236B" w:rsidRPr="002C272D" w:rsidRDefault="00F8236B">
      <w:pPr>
        <w:pStyle w:val="ListParagraph"/>
        <w:numPr>
          <w:ilvl w:val="0"/>
          <w:numId w:val="5"/>
        </w:numPr>
        <w:spacing w:before="120"/>
        <w:ind w:left="630"/>
        <w:rPr>
          <w:rFonts w:eastAsia="SimSun" w:cstheme="minorHAnsi"/>
          <w:sz w:val="24"/>
          <w:szCs w:val="24"/>
        </w:rPr>
      </w:pPr>
      <w:r w:rsidRPr="002C272D">
        <w:rPr>
          <w:rFonts w:cstheme="minorHAnsi"/>
          <w:sz w:val="24"/>
          <w:szCs w:val="24"/>
        </w:rPr>
        <w:t>Is the current structure of Study Groups conducive to the standardization process of the rapid pace of telecommunication/ICT technology development?</w:t>
      </w:r>
    </w:p>
    <w:p w14:paraId="0D2841F9" w14:textId="77777777"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Does the ITU-T standardization process reflect standardization principles of openness, transparency, inclusiveness, demand-driven, consensus-based, voluntary, and timely?</w:t>
      </w:r>
    </w:p>
    <w:p w14:paraId="5C7796AB" w14:textId="77777777"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Are there SDOs, other than ITU-T, developing recognized recommendations on regulatory and policy aspects of the telecommunications/ICT sector? Specify internal structure, methods of work, time to publish and relate, if it is the case, to the inquires of question 3.</w:t>
      </w:r>
    </w:p>
    <w:p w14:paraId="72DBF436" w14:textId="77777777"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Is the Telecommunication Development Sector with assistance from the Standardization Sector best suited to implement the BSG work and keep developing countries informed on new and emerging technologies?</w:t>
      </w:r>
    </w:p>
    <w:p w14:paraId="7B34B081" w14:textId="77777777"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Should ITU-T consider providing guidance on the adoption and use of emerging technologies and protocols (solutions) developed by other SDOs used to define end-to-end telecommunications/ICT solutions?</w:t>
      </w:r>
    </w:p>
    <w:p w14:paraId="2F642C7E" w14:textId="77777777"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 xml:space="preserve">Should ITU-T conduct gap analysis to identify standards developed by other SDOs on international telecommunication/ICTs that fail to address unique requirements and needs of ITU-T members? </w:t>
      </w:r>
    </w:p>
    <w:p w14:paraId="310B9958" w14:textId="77777777" w:rsidR="00F8236B" w:rsidRPr="002C272D" w:rsidRDefault="00F8236B" w:rsidP="003D7BA3">
      <w:pPr>
        <w:spacing w:line="240" w:lineRule="auto"/>
        <w:rPr>
          <w:rFonts w:cstheme="minorHAnsi"/>
          <w:b/>
          <w:bCs/>
          <w:noProof/>
          <w:szCs w:val="24"/>
        </w:rPr>
      </w:pPr>
    </w:p>
    <w:p w14:paraId="250687F5" w14:textId="77777777" w:rsidR="00F8236B" w:rsidRPr="002C272D" w:rsidRDefault="00F8236B" w:rsidP="003D7BA3">
      <w:pPr>
        <w:spacing w:line="240" w:lineRule="auto"/>
        <w:jc w:val="center"/>
        <w:rPr>
          <w:rFonts w:cstheme="minorHAnsi"/>
          <w:szCs w:val="24"/>
        </w:rPr>
      </w:pPr>
      <w:r w:rsidRPr="002C272D">
        <w:rPr>
          <w:rFonts w:cstheme="minorHAnsi"/>
          <w:szCs w:val="24"/>
        </w:rPr>
        <w:t>_______________________</w:t>
      </w:r>
    </w:p>
    <w:p w14:paraId="069A8452" w14:textId="77777777" w:rsidR="00F8236B" w:rsidRPr="002C272D" w:rsidRDefault="00F8236B" w:rsidP="003D7BA3">
      <w:pPr>
        <w:spacing w:line="240" w:lineRule="auto"/>
        <w:rPr>
          <w:rFonts w:cstheme="minorHAnsi"/>
          <w:szCs w:val="24"/>
        </w:rPr>
      </w:pPr>
      <w:r w:rsidRPr="002C272D">
        <w:rPr>
          <w:rFonts w:cstheme="minorHAnsi"/>
          <w:szCs w:val="24"/>
        </w:rPr>
        <w:br w:type="page"/>
      </w:r>
    </w:p>
    <w:p w14:paraId="70D2E7BF" w14:textId="77777777" w:rsidR="00F8236B" w:rsidRPr="002C272D" w:rsidRDefault="00F8236B" w:rsidP="00EB3D9E">
      <w:pPr>
        <w:pStyle w:val="Heading1"/>
        <w:rPr>
          <w:sz w:val="24"/>
          <w:szCs w:val="24"/>
        </w:rPr>
      </w:pPr>
      <w:r w:rsidRPr="002C272D">
        <w:rPr>
          <w:sz w:val="24"/>
          <w:szCs w:val="24"/>
        </w:rPr>
        <w:lastRenderedPageBreak/>
        <w:t>Annex 2 Principles</w:t>
      </w:r>
    </w:p>
    <w:p w14:paraId="66117FCC" w14:textId="77777777" w:rsidR="00F8236B" w:rsidRPr="002C272D" w:rsidRDefault="00F8236B" w:rsidP="003D7BA3">
      <w:pPr>
        <w:spacing w:line="240" w:lineRule="auto"/>
        <w:rPr>
          <w:rFonts w:cstheme="minorHAnsi"/>
          <w:szCs w:val="24"/>
        </w:rPr>
      </w:pPr>
      <w:r w:rsidRPr="002C272D">
        <w:rPr>
          <w:rFonts w:cstheme="minorHAnsi"/>
          <w:szCs w:val="24"/>
        </w:rPr>
        <w:t>The following text was copied from TD937 R1</w:t>
      </w:r>
    </w:p>
    <w:p w14:paraId="4860A73A" w14:textId="77777777" w:rsidR="00F8236B" w:rsidRPr="002C272D" w:rsidRDefault="00F8236B" w:rsidP="003D7BA3">
      <w:pPr>
        <w:spacing w:line="240" w:lineRule="auto"/>
        <w:rPr>
          <w:rFonts w:eastAsia="Times New Roman" w:cstheme="minorHAnsi"/>
          <w:szCs w:val="24"/>
        </w:rPr>
      </w:pPr>
      <w:r w:rsidRPr="002C272D">
        <w:rPr>
          <w:rFonts w:cstheme="minorHAnsi"/>
          <w:szCs w:val="24"/>
        </w:rPr>
        <w:t xml:space="preserve">This TD is an updated version of the </w:t>
      </w:r>
      <w:r w:rsidRPr="002C272D">
        <w:rPr>
          <w:rFonts w:eastAsia="Times New Roman" w:cstheme="minorHAnsi"/>
          <w:szCs w:val="24"/>
        </w:rPr>
        <w:t>consolidation of SG restructuring proposals on principles reflecting proposals provided so far.  Revision marks show the difference from TD841R1.</w:t>
      </w:r>
    </w:p>
    <w:p w14:paraId="3EFC280C" w14:textId="77777777" w:rsidR="00F8236B" w:rsidRPr="002C272D" w:rsidRDefault="00F8236B" w:rsidP="003D7BA3">
      <w:pPr>
        <w:spacing w:line="240" w:lineRule="auto"/>
        <w:rPr>
          <w:rFonts w:cstheme="minorHAnsi"/>
          <w:szCs w:val="24"/>
          <w:lang w:eastAsia="zh-CN"/>
        </w:rPr>
      </w:pPr>
    </w:p>
    <w:p w14:paraId="6A99353D" w14:textId="77777777" w:rsidR="00F8236B" w:rsidRPr="002C272D" w:rsidRDefault="00F8236B" w:rsidP="003D7BA3">
      <w:pPr>
        <w:spacing w:line="240" w:lineRule="auto"/>
        <w:rPr>
          <w:rFonts w:cstheme="minorHAnsi"/>
          <w:b/>
          <w:bCs/>
          <w:szCs w:val="24"/>
          <w:lang w:eastAsia="zh-CN"/>
        </w:rPr>
      </w:pPr>
      <w:r w:rsidRPr="002C272D">
        <w:rPr>
          <w:rFonts w:cstheme="minorHAnsi"/>
          <w:b/>
          <w:bCs/>
          <w:szCs w:val="24"/>
          <w:lang w:eastAsia="zh-CN"/>
        </w:rPr>
        <w:t>Notes:</w:t>
      </w:r>
    </w:p>
    <w:p w14:paraId="129C600C" w14:textId="77777777" w:rsidR="00F8236B" w:rsidRPr="002C272D" w:rsidRDefault="00F8236B">
      <w:pPr>
        <w:pStyle w:val="ListParagraph"/>
        <w:numPr>
          <w:ilvl w:val="0"/>
          <w:numId w:val="13"/>
        </w:numPr>
        <w:spacing w:before="120"/>
        <w:rPr>
          <w:rFonts w:cstheme="minorHAnsi"/>
          <w:sz w:val="24"/>
          <w:szCs w:val="24"/>
          <w:lang w:eastAsia="zh-CN"/>
        </w:rPr>
      </w:pPr>
      <w:r w:rsidRPr="002C272D">
        <w:rPr>
          <w:rFonts w:cstheme="minorHAnsi"/>
          <w:sz w:val="24"/>
          <w:szCs w:val="24"/>
          <w:lang w:eastAsia="zh-CN"/>
        </w:rPr>
        <w:t>Some of the proposals appear to fit in more than one category and thus show-up in more than category.</w:t>
      </w:r>
    </w:p>
    <w:p w14:paraId="141D5BA4" w14:textId="77777777" w:rsidR="00F8236B" w:rsidRPr="002C272D" w:rsidRDefault="00F8236B">
      <w:pPr>
        <w:pStyle w:val="ListParagraph"/>
        <w:numPr>
          <w:ilvl w:val="0"/>
          <w:numId w:val="14"/>
        </w:numPr>
        <w:spacing w:before="120"/>
        <w:rPr>
          <w:rFonts w:cstheme="minorHAnsi"/>
          <w:sz w:val="24"/>
          <w:szCs w:val="24"/>
          <w:lang w:eastAsia="zh-CN"/>
        </w:rPr>
      </w:pPr>
      <w:r w:rsidRPr="002C272D">
        <w:rPr>
          <w:rFonts w:cstheme="minorHAnsi"/>
          <w:sz w:val="24"/>
          <w:szCs w:val="24"/>
          <w:lang w:eastAsia="zh-CN"/>
        </w:rPr>
        <w:t xml:space="preserve">The titles/scopes of the seven categories might be amended slightly; suggestions for such amendments are shown within the proposals in </w:t>
      </w:r>
      <w:r w:rsidRPr="002C272D">
        <w:rPr>
          <w:rFonts w:cstheme="minorHAnsi"/>
          <w:i/>
          <w:sz w:val="24"/>
          <w:szCs w:val="24"/>
          <w:lang w:eastAsia="zh-CN"/>
        </w:rPr>
        <w:t xml:space="preserve">italics </w:t>
      </w:r>
      <w:r w:rsidRPr="002C272D">
        <w:rPr>
          <w:rFonts w:cstheme="minorHAnsi"/>
          <w:sz w:val="24"/>
          <w:szCs w:val="24"/>
          <w:lang w:eastAsia="zh-CN"/>
        </w:rPr>
        <w:t>(for consideration).</w:t>
      </w:r>
    </w:p>
    <w:p w14:paraId="45516DA8" w14:textId="77777777" w:rsidR="00F8236B" w:rsidRPr="002C272D" w:rsidRDefault="00F8236B" w:rsidP="003D7BA3">
      <w:pPr>
        <w:spacing w:line="240" w:lineRule="auto"/>
        <w:rPr>
          <w:rFonts w:cstheme="minorHAnsi"/>
          <w:szCs w:val="24"/>
          <w:lang w:eastAsia="zh-CN"/>
        </w:rPr>
      </w:pPr>
    </w:p>
    <w:p w14:paraId="5FE8A005" w14:textId="77777777" w:rsidR="00F8236B" w:rsidRPr="002C272D" w:rsidRDefault="00F8236B" w:rsidP="003D7BA3">
      <w:pPr>
        <w:spacing w:line="240" w:lineRule="auto"/>
        <w:rPr>
          <w:rFonts w:eastAsiaTheme="minorHAnsi" w:cstheme="minorHAnsi"/>
          <w:szCs w:val="24"/>
          <w:lang w:eastAsia="zh-CN"/>
        </w:rPr>
      </w:pPr>
      <w:r w:rsidRPr="002C272D">
        <w:rPr>
          <w:rFonts w:cstheme="minorHAnsi"/>
          <w:szCs w:val="24"/>
          <w:lang w:eastAsia="zh-CN"/>
        </w:rPr>
        <w:br w:type="page"/>
      </w:r>
    </w:p>
    <w:p w14:paraId="7A4FBF6C" w14:textId="77777777" w:rsidR="00F8236B" w:rsidRPr="002C272D" w:rsidRDefault="00F8236B">
      <w:pPr>
        <w:pStyle w:val="Heading1Centered"/>
        <w:spacing w:before="120" w:after="120"/>
        <w:rPr>
          <w:rFonts w:asciiTheme="minorHAnsi" w:hAnsiTheme="minorHAnsi" w:cstheme="minorHAnsi"/>
          <w:szCs w:val="24"/>
        </w:rPr>
      </w:pPr>
      <w:bookmarkStart w:id="4" w:name="AnnexA"/>
      <w:r w:rsidRPr="002C272D">
        <w:rPr>
          <w:rFonts w:asciiTheme="minorHAnsi" w:hAnsiTheme="minorHAnsi" w:cstheme="minorHAnsi"/>
          <w:szCs w:val="24"/>
        </w:rPr>
        <w:lastRenderedPageBreak/>
        <w:t>Annex A</w:t>
      </w:r>
      <w:bookmarkEnd w:id="4"/>
      <w:r w:rsidRPr="002C272D">
        <w:rPr>
          <w:rFonts w:asciiTheme="minorHAnsi" w:hAnsiTheme="minorHAnsi" w:cstheme="minorHAnsi"/>
          <w:szCs w:val="24"/>
        </w:rPr>
        <w:t xml:space="preserve">: </w:t>
      </w:r>
      <w:r w:rsidRPr="002C272D">
        <w:rPr>
          <w:rFonts w:asciiTheme="minorHAnsi" w:hAnsiTheme="minorHAnsi" w:cstheme="minorHAnsi"/>
          <w:szCs w:val="24"/>
        </w:rPr>
        <w:br/>
        <w:t>Mapping to proposals in contributions to seven high-level study group structure principles</w:t>
      </w:r>
    </w:p>
    <w:p w14:paraId="606F89BE" w14:textId="77777777" w:rsidR="00F8236B" w:rsidRPr="002C272D" w:rsidRDefault="00F8236B" w:rsidP="003D7BA3">
      <w:pPr>
        <w:spacing w:line="240" w:lineRule="auto"/>
        <w:rPr>
          <w:rFonts w:cstheme="minorHAnsi"/>
          <w:szCs w:val="24"/>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28"/>
        <w:gridCol w:w="7339"/>
        <w:gridCol w:w="1867"/>
      </w:tblGrid>
      <w:tr w:rsidR="00F8236B" w:rsidRPr="002C272D" w14:paraId="44C4AA28" w14:textId="77777777" w:rsidTr="009617B8">
        <w:trPr>
          <w:tblHeader/>
          <w:jc w:val="center"/>
        </w:trPr>
        <w:tc>
          <w:tcPr>
            <w:tcW w:w="7767" w:type="dxa"/>
            <w:gridSpan w:val="2"/>
            <w:tcBorders>
              <w:top w:val="single" w:sz="12" w:space="0" w:color="auto"/>
              <w:left w:val="single" w:sz="12" w:space="0" w:color="auto"/>
              <w:bottom w:val="single" w:sz="12" w:space="0" w:color="auto"/>
              <w:right w:val="single" w:sz="12" w:space="0" w:color="auto"/>
            </w:tcBorders>
            <w:hideMark/>
          </w:tcPr>
          <w:p w14:paraId="32043370" w14:textId="77777777" w:rsidR="00F8236B" w:rsidRPr="002C272D" w:rsidRDefault="00F8236B">
            <w:pPr>
              <w:pStyle w:val="Tablehead"/>
              <w:keepNext w:val="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
              <w:t>High level SG structure principles</w:t>
            </w:r>
          </w:p>
        </w:tc>
        <w:tc>
          <w:tcPr>
            <w:tcW w:w="1842" w:type="dxa"/>
            <w:tcBorders>
              <w:top w:val="single" w:sz="12" w:space="0" w:color="auto"/>
              <w:left w:val="single" w:sz="12" w:space="0" w:color="auto"/>
              <w:bottom w:val="single" w:sz="12" w:space="0" w:color="auto"/>
              <w:right w:val="single" w:sz="12" w:space="0" w:color="auto"/>
            </w:tcBorders>
            <w:hideMark/>
          </w:tcPr>
          <w:p w14:paraId="66361B5D" w14:textId="77777777"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lang w:val="en-US"/>
              </w:rPr>
              <w:t>Reference</w:t>
            </w:r>
          </w:p>
        </w:tc>
      </w:tr>
      <w:tr w:rsidR="00F8236B" w:rsidRPr="002C272D" w14:paraId="14E2862D" w14:textId="77777777" w:rsidTr="009617B8">
        <w:trPr>
          <w:jc w:val="center"/>
        </w:trPr>
        <w:tc>
          <w:tcPr>
            <w:tcW w:w="7767" w:type="dxa"/>
            <w:gridSpan w:val="2"/>
            <w:tcBorders>
              <w:top w:val="single" w:sz="12" w:space="0" w:color="auto"/>
              <w:left w:val="single" w:sz="12" w:space="0" w:color="auto"/>
              <w:bottom w:val="single" w:sz="4" w:space="0" w:color="auto"/>
              <w:right w:val="single" w:sz="12" w:space="0" w:color="auto"/>
            </w:tcBorders>
            <w:vAlign w:val="center"/>
            <w:hideMark/>
          </w:tcPr>
          <w:p w14:paraId="47C0A589" w14:textId="77777777" w:rsidR="00F8236B" w:rsidRPr="002C272D" w:rsidRDefault="00F8236B">
            <w:pPr>
              <w:pStyle w:val="Tabletext"/>
              <w:spacing w:before="120" w:after="120"/>
              <w:rPr>
                <w:rFonts w:asciiTheme="minorHAnsi" w:hAnsiTheme="minorHAnsi" w:cstheme="minorHAnsi"/>
                <w:b/>
                <w:sz w:val="24"/>
                <w:szCs w:val="24"/>
                <w:lang w:val="en-US"/>
              </w:rPr>
            </w:pPr>
            <w:r w:rsidRPr="002C272D">
              <w:rPr>
                <w:rFonts w:asciiTheme="minorHAnsi" w:hAnsiTheme="minorHAnsi" w:cstheme="minorHAnsi"/>
                <w:b/>
                <w:sz w:val="24"/>
                <w:szCs w:val="24"/>
                <w:lang w:val="en-US"/>
              </w:rPr>
              <w:t>A: Optimized structure</w:t>
            </w:r>
          </w:p>
        </w:tc>
        <w:tc>
          <w:tcPr>
            <w:tcW w:w="1842" w:type="dxa"/>
            <w:tcBorders>
              <w:top w:val="single" w:sz="12" w:space="0" w:color="auto"/>
              <w:left w:val="single" w:sz="12" w:space="0" w:color="auto"/>
              <w:bottom w:val="single" w:sz="4" w:space="0" w:color="auto"/>
              <w:right w:val="single" w:sz="12" w:space="0" w:color="auto"/>
            </w:tcBorders>
            <w:vAlign w:val="center"/>
            <w:hideMark/>
          </w:tcPr>
          <w:p w14:paraId="449B4CEA" w14:textId="77777777"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14:paraId="6B1F9403"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514225AB"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The number of study groups could be appropriately adjusted as required. However, it would be inadvisable to pursue the reduction of the number of study groups for the sake of reduction itself. The advantages and disadvantages of various re-structuring solutions deserve a holistic study.</w:t>
            </w:r>
          </w:p>
        </w:tc>
        <w:tc>
          <w:tcPr>
            <w:tcW w:w="1842" w:type="dxa"/>
            <w:tcBorders>
              <w:top w:val="single" w:sz="4" w:space="0" w:color="auto"/>
              <w:left w:val="single" w:sz="12" w:space="0" w:color="auto"/>
              <w:bottom w:val="single" w:sz="4" w:space="0" w:color="auto"/>
              <w:right w:val="single" w:sz="12" w:space="0" w:color="auto"/>
            </w:tcBorders>
            <w:hideMark/>
          </w:tcPr>
          <w:p w14:paraId="71ABE93C" w14:textId="77777777" w:rsidR="00F8236B" w:rsidRPr="002C272D" w:rsidRDefault="00F8236B">
            <w:pPr>
              <w:pStyle w:val="Tabletext"/>
              <w:keepNext/>
              <w:rPr>
                <w:rFonts w:asciiTheme="minorHAnsi" w:hAnsiTheme="minorHAnsi" w:cstheme="minorHAnsi"/>
                <w:sz w:val="24"/>
                <w:szCs w:val="24"/>
                <w:lang w:val="en-US"/>
              </w:rPr>
            </w:pPr>
            <w:hyperlink r:id="rId9" w:history="1">
              <w:r w:rsidRPr="002C272D">
                <w:rPr>
                  <w:rStyle w:val="Hyperlink"/>
                  <w:rFonts w:asciiTheme="minorHAnsi" w:hAnsiTheme="minorHAnsi" w:cstheme="minorHAnsi"/>
                  <w:sz w:val="24"/>
                  <w:szCs w:val="24"/>
                  <w:lang w:val="en-US" w:eastAsia="zh-CN"/>
                </w:rPr>
                <w:t>C105</w:t>
              </w:r>
            </w:hyperlink>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14:paraId="73A7D9FD"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357E229D"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Ensure that a structural </w:t>
            </w:r>
            <w:r w:rsidRPr="002C272D">
              <w:rPr>
                <w:rFonts w:eastAsia="Times New Roman" w:cstheme="minorHAnsi"/>
                <w:sz w:val="24"/>
                <w:szCs w:val="24"/>
                <w:lang w:val="en-US" w:eastAsia="zh-CN"/>
              </w:rPr>
              <w:t>environment exists to ensure that high priority tasks (as defined by the membership) can be undertaken in the most efficient and effective manner possible.</w:t>
            </w:r>
          </w:p>
          <w:p w14:paraId="4302ADB0" w14:textId="77777777" w:rsidR="00F8236B" w:rsidRPr="002C272D" w:rsidRDefault="00F8236B" w:rsidP="003D7BA3">
            <w:pPr>
              <w:numPr>
                <w:ilvl w:val="0"/>
                <w:numId w:val="15"/>
              </w:numPr>
              <w:spacing w:before="120" w:after="120" w:line="240" w:lineRule="auto"/>
              <w:ind w:left="357" w:hanging="357"/>
              <w:rPr>
                <w:rFonts w:eastAsia="Times New Roman" w:cstheme="minorHAnsi"/>
                <w:szCs w:val="24"/>
                <w:lang w:val="en-US" w:eastAsia="en-CA"/>
              </w:rPr>
            </w:pPr>
            <w:r w:rsidRPr="002C272D">
              <w:rPr>
                <w:rFonts w:eastAsia="Times New Roman" w:cstheme="minorHAnsi"/>
                <w:szCs w:val="24"/>
                <w:lang w:val="en-US" w:eastAsia="zh-CN"/>
              </w:rPr>
              <w:t>Identify and remove redundant activities, which attract minimal or no response from ITU-T participants.</w:t>
            </w:r>
          </w:p>
        </w:tc>
        <w:tc>
          <w:tcPr>
            <w:tcW w:w="1842" w:type="dxa"/>
            <w:tcBorders>
              <w:top w:val="single" w:sz="4" w:space="0" w:color="auto"/>
              <w:left w:val="single" w:sz="12" w:space="0" w:color="auto"/>
              <w:bottom w:val="single" w:sz="4" w:space="0" w:color="auto"/>
              <w:right w:val="single" w:sz="12" w:space="0" w:color="auto"/>
            </w:tcBorders>
            <w:hideMark/>
          </w:tcPr>
          <w:p w14:paraId="58CE0BCF" w14:textId="77777777" w:rsidR="00F8236B" w:rsidRPr="002C272D" w:rsidRDefault="00F8236B">
            <w:pPr>
              <w:pStyle w:val="Tabletext"/>
              <w:keepNext/>
              <w:rPr>
                <w:rFonts w:asciiTheme="minorHAnsi" w:hAnsiTheme="minorHAnsi" w:cstheme="minorHAnsi"/>
                <w:sz w:val="24"/>
                <w:szCs w:val="24"/>
                <w:lang w:val="en-US"/>
              </w:rPr>
            </w:pPr>
            <w:hyperlink r:id="rId10" w:history="1">
              <w:r w:rsidRPr="002C272D">
                <w:rPr>
                  <w:rStyle w:val="Hyperlink"/>
                  <w:rFonts w:asciiTheme="minorHAnsi" w:hAnsiTheme="minorHAnsi" w:cstheme="minorHAnsi"/>
                  <w:sz w:val="24"/>
                  <w:szCs w:val="24"/>
                  <w:lang w:val="en-US" w:eastAsia="zh-CN"/>
                </w:rPr>
                <w:t>C110</w:t>
              </w:r>
            </w:hyperlink>
            <w:r w:rsidRPr="002C272D">
              <w:rPr>
                <w:rStyle w:val="Hyperlink"/>
                <w:rFonts w:asciiTheme="minorHAnsi" w:hAnsiTheme="minorHAnsi" w:cstheme="minorHAnsi"/>
                <w:sz w:val="24"/>
                <w:szCs w:val="24"/>
                <w:lang w:val="en-US" w:eastAsia="zh-CN"/>
              </w:rPr>
              <w:t xml:space="preserve"> </w:t>
            </w:r>
            <w:r w:rsidRPr="002C272D">
              <w:rPr>
                <w:rStyle w:val="Hyperlink"/>
                <w:rFonts w:asciiTheme="minorHAnsi" w:hAnsiTheme="minorHAnsi" w:cstheme="minorHAnsi"/>
                <w:sz w:val="24"/>
                <w:szCs w:val="24"/>
                <w:lang w:val="en-US"/>
              </w:rPr>
              <w:t>(Canada)</w:t>
            </w:r>
          </w:p>
        </w:tc>
      </w:tr>
      <w:tr w:rsidR="00F8236B" w:rsidRPr="002C272D" w14:paraId="11D75FA2"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0962BE4B" w14:textId="77777777" w:rsidR="00F8236B" w:rsidRPr="002C272D" w:rsidRDefault="00F8236B">
            <w:pPr>
              <w:pStyle w:val="ListParagraph"/>
              <w:numPr>
                <w:ilvl w:val="0"/>
                <w:numId w:val="15"/>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 xml:space="preserve">To develop a well-organized SG structure which reflects the emerging technologies, market trends, members’ demands and ITU-T mission, the following needs for SG restructuring </w:t>
            </w:r>
            <w:proofErr w:type="gramStart"/>
            <w:r w:rsidRPr="002C272D">
              <w:rPr>
                <w:rFonts w:eastAsia="Malgun Gothic" w:cstheme="minorHAnsi"/>
                <w:sz w:val="24"/>
                <w:szCs w:val="24"/>
                <w:lang w:val="en-US" w:eastAsia="ko-KR"/>
              </w:rPr>
              <w:t>have to</w:t>
            </w:r>
            <w:proofErr w:type="gramEnd"/>
            <w:r w:rsidRPr="002C272D">
              <w:rPr>
                <w:rFonts w:eastAsia="Malgun Gothic" w:cstheme="minorHAnsi"/>
                <w:sz w:val="24"/>
                <w:szCs w:val="24"/>
                <w:lang w:val="en-US" w:eastAsia="ko-KR"/>
              </w:rPr>
              <w:t xml:space="preserve"> be satisfied:</w:t>
            </w:r>
          </w:p>
          <w:p w14:paraId="2C2AEEA2" w14:textId="77777777" w:rsidR="00F8236B" w:rsidRPr="002C272D" w:rsidRDefault="00F8236B">
            <w:pPr>
              <w:pStyle w:val="ListParagraph"/>
              <w:numPr>
                <w:ilvl w:val="0"/>
                <w:numId w:val="18"/>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The need to resolve the overlap issues among SGs. Such requirements could be identified via reviewing the scope and mandates of the current SGs.</w:t>
            </w:r>
          </w:p>
          <w:p w14:paraId="061176DA" w14:textId="77777777" w:rsidR="00F8236B" w:rsidRPr="002C272D" w:rsidRDefault="00F8236B">
            <w:pPr>
              <w:pStyle w:val="ListParagraph"/>
              <w:numPr>
                <w:ilvl w:val="0"/>
                <w:numId w:val="18"/>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The need to create new SGs to keep pace with the changing industry. Such requirements could be identified via the deliverables and activities of the Focus Groups established in this study period.</w:t>
            </w:r>
          </w:p>
          <w:p w14:paraId="67092CEF" w14:textId="77777777" w:rsidR="00F8236B" w:rsidRPr="002C272D" w:rsidRDefault="00F8236B">
            <w:pPr>
              <w:pStyle w:val="ListParagraph"/>
              <w:numPr>
                <w:ilvl w:val="0"/>
                <w:numId w:val="18"/>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 xml:space="preserve">The need to merge the SGs without </w:t>
            </w:r>
            <w:proofErr w:type="gramStart"/>
            <w:r w:rsidRPr="002C272D">
              <w:rPr>
                <w:rFonts w:eastAsia="Malgun Gothic" w:cstheme="minorHAnsi"/>
                <w:sz w:val="24"/>
                <w:szCs w:val="24"/>
                <w:lang w:val="en-US" w:eastAsia="ko-KR"/>
              </w:rPr>
              <w:t>a sufficient number of</w:t>
            </w:r>
            <w:proofErr w:type="gramEnd"/>
            <w:r w:rsidRPr="002C272D">
              <w:rPr>
                <w:rFonts w:eastAsia="Malgun Gothic" w:cstheme="minorHAnsi"/>
                <w:sz w:val="24"/>
                <w:szCs w:val="24"/>
                <w:lang w:val="en-US" w:eastAsia="ko-KR"/>
              </w:rPr>
              <w:t xml:space="preserve"> participants, contributions or outcomes. Such requirements could be identified via the statistics of the participants, </w:t>
            </w:r>
            <w:proofErr w:type="gramStart"/>
            <w:r w:rsidRPr="002C272D">
              <w:rPr>
                <w:rFonts w:eastAsia="Malgun Gothic" w:cstheme="minorHAnsi"/>
                <w:sz w:val="24"/>
                <w:szCs w:val="24"/>
                <w:lang w:val="en-US" w:eastAsia="ko-KR"/>
              </w:rPr>
              <w:t>contributions</w:t>
            </w:r>
            <w:proofErr w:type="gramEnd"/>
            <w:r w:rsidRPr="002C272D">
              <w:rPr>
                <w:rFonts w:eastAsia="Malgun Gothic" w:cstheme="minorHAnsi"/>
                <w:sz w:val="24"/>
                <w:szCs w:val="24"/>
                <w:lang w:val="en-US" w:eastAsia="ko-KR"/>
              </w:rPr>
              <w:t xml:space="preserve"> and published recommendations of SGs activities.</w:t>
            </w:r>
          </w:p>
          <w:p w14:paraId="660DBF50" w14:textId="77777777" w:rsidR="00F8236B" w:rsidRPr="002C272D" w:rsidRDefault="00F8236B">
            <w:pPr>
              <w:pStyle w:val="ListParagraph"/>
              <w:numPr>
                <w:ilvl w:val="0"/>
                <w:numId w:val="18"/>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The need to maintain an appropriate number of SGs with clear scopes and mandates which will favour active participations and contributions in the SGs activities.</w:t>
            </w:r>
          </w:p>
          <w:p w14:paraId="38714EE2" w14:textId="77777777" w:rsidR="00F8236B" w:rsidRPr="002C272D" w:rsidRDefault="00F8236B">
            <w:pPr>
              <w:pStyle w:val="ListParagraph"/>
              <w:spacing w:after="120"/>
              <w:rPr>
                <w:rFonts w:eastAsia="Malgun Gothic" w:cstheme="minorHAnsi"/>
                <w:sz w:val="24"/>
                <w:szCs w:val="24"/>
                <w:lang w:val="en-US" w:eastAsia="ko-KR"/>
              </w:rPr>
            </w:pPr>
            <w:r w:rsidRPr="002C272D">
              <w:rPr>
                <w:rFonts w:eastAsia="Malgun Gothic" w:cstheme="minorHAnsi"/>
                <w:sz w:val="24"/>
                <w:szCs w:val="24"/>
                <w:lang w:val="en-US" w:eastAsia="ko-KR"/>
              </w:rPr>
              <w:t xml:space="preserve">When we decrease the number of SGs and broaden the scope of each SG, we indeed pose great challenge to the members; To send a group of experts to participate in a single SG event </w:t>
            </w:r>
            <w:proofErr w:type="gramStart"/>
            <w:r w:rsidRPr="002C272D">
              <w:rPr>
                <w:rFonts w:eastAsia="Malgun Gothic" w:cstheme="minorHAnsi"/>
                <w:sz w:val="24"/>
                <w:szCs w:val="24"/>
                <w:lang w:val="en-US" w:eastAsia="ko-KR"/>
              </w:rPr>
              <w:t>so as to</w:t>
            </w:r>
            <w:proofErr w:type="gramEnd"/>
            <w:r w:rsidRPr="002C272D">
              <w:rPr>
                <w:rFonts w:eastAsia="Malgun Gothic" w:cstheme="minorHAnsi"/>
                <w:sz w:val="24"/>
                <w:szCs w:val="24"/>
                <w:lang w:val="en-US" w:eastAsia="ko-KR"/>
              </w:rPr>
              <w:t xml:space="preserve"> cover all different research areas respectively? Or to send a single super strong and experienced expert to cover all research areas within a certain SG? In this circumstance, the less important areas will gradually </w:t>
            </w:r>
            <w:proofErr w:type="gramStart"/>
            <w:r w:rsidRPr="002C272D">
              <w:rPr>
                <w:rFonts w:eastAsia="Malgun Gothic" w:cstheme="minorHAnsi"/>
                <w:sz w:val="24"/>
                <w:szCs w:val="24"/>
                <w:lang w:val="en-US" w:eastAsia="ko-KR"/>
              </w:rPr>
              <w:t>dropped</w:t>
            </w:r>
            <w:proofErr w:type="gramEnd"/>
            <w:r w:rsidRPr="002C272D">
              <w:rPr>
                <w:rFonts w:eastAsia="Malgun Gothic" w:cstheme="minorHAnsi"/>
                <w:sz w:val="24"/>
                <w:szCs w:val="24"/>
                <w:lang w:val="en-US" w:eastAsia="ko-KR"/>
              </w:rPr>
              <w:t xml:space="preserve"> off and leading to a gradual decline in a continuously decreasing number of </w:t>
            </w:r>
            <w:r w:rsidRPr="002C272D">
              <w:rPr>
                <w:rFonts w:eastAsia="Malgun Gothic" w:cstheme="minorHAnsi"/>
                <w:sz w:val="24"/>
                <w:szCs w:val="24"/>
                <w:lang w:val="en-US" w:eastAsia="ko-KR"/>
              </w:rPr>
              <w:lastRenderedPageBreak/>
              <w:t>participants and contributions, ultimately leading to the decline of the meeting scale, impact and scope of ITU-T SGs.</w:t>
            </w:r>
          </w:p>
        </w:tc>
        <w:tc>
          <w:tcPr>
            <w:tcW w:w="1842" w:type="dxa"/>
            <w:tcBorders>
              <w:top w:val="single" w:sz="4" w:space="0" w:color="auto"/>
              <w:left w:val="single" w:sz="12" w:space="0" w:color="auto"/>
              <w:bottom w:val="single" w:sz="4" w:space="0" w:color="auto"/>
              <w:right w:val="single" w:sz="12" w:space="0" w:color="auto"/>
            </w:tcBorders>
            <w:hideMark/>
          </w:tcPr>
          <w:p w14:paraId="6DEC0060" w14:textId="77777777" w:rsidR="00F8236B" w:rsidRPr="002C272D" w:rsidRDefault="00F8236B">
            <w:pPr>
              <w:pStyle w:val="Tabletext"/>
              <w:keepNext/>
              <w:rPr>
                <w:rFonts w:asciiTheme="minorHAnsi" w:hAnsiTheme="minorHAnsi" w:cstheme="minorHAnsi"/>
                <w:sz w:val="24"/>
                <w:szCs w:val="24"/>
                <w:lang w:val="en-US" w:eastAsia="zh-CN"/>
              </w:rPr>
            </w:pPr>
            <w:hyperlink r:id="rId11" w:history="1">
              <w:r w:rsidRPr="002C272D">
                <w:rPr>
                  <w:rStyle w:val="Hyperlink"/>
                  <w:rFonts w:asciiTheme="minorHAnsi" w:hAnsiTheme="minorHAnsi" w:cstheme="minorHAnsi"/>
                  <w:sz w:val="24"/>
                  <w:szCs w:val="24"/>
                  <w:lang w:val="en-US" w:eastAsia="zh-CN"/>
                </w:rPr>
                <w:t>C119</w:t>
              </w:r>
            </w:hyperlink>
            <w:r w:rsidRPr="002C272D">
              <w:rPr>
                <w:rStyle w:val="Hyperlink"/>
                <w:rFonts w:asciiTheme="minorHAnsi" w:hAnsiTheme="minorHAnsi" w:cstheme="minorHAnsi"/>
                <w:sz w:val="24"/>
                <w:szCs w:val="24"/>
                <w:lang w:val="en-US" w:eastAsia="zh-CN"/>
              </w:rPr>
              <w:t xml:space="preserve"> </w:t>
            </w:r>
            <w:r w:rsidRPr="002C272D">
              <w:rPr>
                <w:rStyle w:val="Hyperlink"/>
                <w:rFonts w:asciiTheme="minorHAnsi" w:hAnsiTheme="minorHAnsi" w:cstheme="minorHAnsi"/>
                <w:sz w:val="24"/>
                <w:szCs w:val="24"/>
                <w:lang w:val="en-US"/>
              </w:rPr>
              <w:t>(China Telecom)</w:t>
            </w:r>
          </w:p>
        </w:tc>
      </w:tr>
      <w:tr w:rsidR="00F8236B" w:rsidRPr="002C272D" w14:paraId="64D5CB8D"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0E7C8DF7" w14:textId="77777777" w:rsidR="00F8236B" w:rsidRPr="002C272D" w:rsidRDefault="00F8236B">
            <w:pPr>
              <w:pStyle w:val="ListParagraph"/>
              <w:numPr>
                <w:ilvl w:val="0"/>
                <w:numId w:val="15"/>
              </w:numPr>
              <w:spacing w:before="120" w:after="120"/>
              <w:rPr>
                <w:rFonts w:eastAsia="Malgun Gothic" w:cstheme="minorHAnsi"/>
                <w:sz w:val="24"/>
                <w:szCs w:val="24"/>
                <w:lang w:val="en-US" w:eastAsia="ko-KR"/>
              </w:rPr>
            </w:pPr>
            <w:r w:rsidRPr="002C272D">
              <w:rPr>
                <w:rFonts w:cstheme="minorHAnsi"/>
                <w:sz w:val="24"/>
                <w:szCs w:val="24"/>
                <w:lang w:val="en-US" w:eastAsia="zh-CN"/>
              </w:rPr>
              <w:t xml:space="preserve">Maintain </w:t>
            </w:r>
            <w:r w:rsidRPr="002C272D">
              <w:rPr>
                <w:rFonts w:eastAsia="Malgun Gothic" w:cstheme="minorHAnsi"/>
                <w:sz w:val="24"/>
                <w:szCs w:val="24"/>
                <w:lang w:val="en-US" w:eastAsia="ko-KR"/>
              </w:rPr>
              <w:t>ITU-T core advantages in the next 4-8 years. Firstly, strengthen the current active and productive Study Groups, the participants and contributors of existing study groups should be consolidated and encouraged. At the same time, excessive merger and reorganization should be prevented to avoid releasing wrong signals and losing expert resources, and further weaken the influence of ITU-T, which will cause irreparable long</w:t>
            </w:r>
            <w:r w:rsidRPr="002C272D">
              <w:rPr>
                <w:rFonts w:cstheme="minorHAnsi"/>
                <w:sz w:val="24"/>
                <w:szCs w:val="24"/>
                <w:lang w:val="en-US" w:eastAsia="zh-CN"/>
              </w:rPr>
              <w:t>-term losses to ITU-T. It’s also recommended through careful quantitative analysis of the metrics, to appropriately adjust the individual study group which is not active in Questions or Working Parties and has low productive efficiency.</w:t>
            </w:r>
          </w:p>
        </w:tc>
        <w:tc>
          <w:tcPr>
            <w:tcW w:w="1842" w:type="dxa"/>
            <w:tcBorders>
              <w:top w:val="single" w:sz="4" w:space="0" w:color="auto"/>
              <w:left w:val="single" w:sz="12" w:space="0" w:color="auto"/>
              <w:bottom w:val="single" w:sz="4" w:space="0" w:color="auto"/>
              <w:right w:val="single" w:sz="12" w:space="0" w:color="auto"/>
            </w:tcBorders>
            <w:hideMark/>
          </w:tcPr>
          <w:p w14:paraId="5B5EF47A" w14:textId="77777777" w:rsidR="00F8236B" w:rsidRPr="002C272D" w:rsidRDefault="00F8236B">
            <w:pPr>
              <w:pStyle w:val="Tabletext"/>
              <w:keepNext/>
              <w:rPr>
                <w:rFonts w:asciiTheme="minorHAnsi" w:hAnsiTheme="minorHAnsi" w:cstheme="minorHAnsi"/>
                <w:sz w:val="24"/>
                <w:szCs w:val="24"/>
                <w:lang w:val="en-US" w:eastAsia="zh-CN"/>
              </w:rPr>
            </w:pPr>
            <w:hyperlink r:id="rId12" w:history="1">
              <w:r w:rsidRPr="002C272D">
                <w:rPr>
                  <w:rStyle w:val="Hyperlink"/>
                  <w:rFonts w:asciiTheme="minorHAnsi" w:hAnsiTheme="minorHAnsi" w:cstheme="minorHAnsi"/>
                  <w:sz w:val="24"/>
                  <w:szCs w:val="24"/>
                  <w:lang w:val="en-US" w:eastAsia="zh-CN"/>
                </w:rPr>
                <w:t>C120</w:t>
              </w:r>
            </w:hyperlink>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14:paraId="18B4A010"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78EEDB40" w14:textId="77777777" w:rsidR="00F8236B" w:rsidRPr="002C272D" w:rsidRDefault="00F8236B">
            <w:pPr>
              <w:pStyle w:val="ListParagraph"/>
              <w:keepNext/>
              <w:keepLines/>
              <w:numPr>
                <w:ilvl w:val="0"/>
                <w:numId w:val="15"/>
              </w:numPr>
              <w:spacing w:before="120" w:after="120"/>
              <w:ind w:left="357"/>
              <w:rPr>
                <w:rFonts w:eastAsia="Malgun Gothic" w:cstheme="minorHAnsi"/>
                <w:i/>
                <w:sz w:val="24"/>
                <w:szCs w:val="24"/>
                <w:lang w:val="en-US" w:eastAsia="ko-KR"/>
              </w:rPr>
            </w:pPr>
            <w:r w:rsidRPr="002C272D">
              <w:rPr>
                <w:rFonts w:cstheme="minorHAnsi"/>
                <w:sz w:val="24"/>
                <w:szCs w:val="24"/>
                <w:lang w:val="en-US" w:eastAsia="zh-CN"/>
              </w:rPr>
              <w:t>Strengthen organizational structure reform and work mechanism innovation are the core driving forces for the development and prosperity of ITU-T. Enhancing the internal vitality of the study group is the key to the success of the SGs restructuring. It is suggested</w:t>
            </w:r>
          </w:p>
          <w:p w14:paraId="7E5E3031" w14:textId="77777777" w:rsidR="00F8236B" w:rsidRPr="002C272D" w:rsidRDefault="00F8236B">
            <w:pPr>
              <w:pStyle w:val="ListParagraph"/>
              <w:keepNext/>
              <w:keepLines/>
              <w:spacing w:after="120"/>
              <w:ind w:left="357"/>
              <w:rPr>
                <w:rFonts w:eastAsiaTheme="minorHAnsi" w:cstheme="minorHAnsi"/>
                <w:sz w:val="24"/>
                <w:szCs w:val="24"/>
                <w:lang w:val="en-US" w:eastAsia="zh-CN"/>
              </w:rPr>
            </w:pPr>
            <w:r w:rsidRPr="002C272D">
              <w:rPr>
                <w:rFonts w:cstheme="minorHAnsi"/>
                <w:sz w:val="24"/>
                <w:szCs w:val="24"/>
                <w:lang w:val="en-US" w:eastAsia="zh-CN"/>
              </w:rPr>
              <w:t xml:space="preserve">1) to optimise the internal structure and the scope of Questions in a Study Group, in response to the standardization requirements of ITU-T members in a fast and timely </w:t>
            </w:r>
            <w:proofErr w:type="gramStart"/>
            <w:r w:rsidRPr="002C272D">
              <w:rPr>
                <w:rFonts w:cstheme="minorHAnsi"/>
                <w:sz w:val="24"/>
                <w:szCs w:val="24"/>
                <w:lang w:val="en-US" w:eastAsia="zh-CN"/>
              </w:rPr>
              <w:t>manner;</w:t>
            </w:r>
            <w:proofErr w:type="gramEnd"/>
          </w:p>
          <w:p w14:paraId="7E6BB112" w14:textId="77777777" w:rsidR="00F8236B" w:rsidRPr="002C272D" w:rsidRDefault="00F8236B">
            <w:pPr>
              <w:pStyle w:val="ListParagraph"/>
              <w:spacing w:after="120"/>
              <w:ind w:left="360"/>
              <w:rPr>
                <w:rFonts w:cstheme="minorHAnsi"/>
                <w:sz w:val="24"/>
                <w:szCs w:val="24"/>
                <w:lang w:val="en-US" w:eastAsia="zh-CN"/>
              </w:rPr>
            </w:pPr>
            <w:r w:rsidRPr="002C272D">
              <w:rPr>
                <w:rFonts w:cstheme="minorHAnsi"/>
                <w:sz w:val="24"/>
                <w:szCs w:val="24"/>
                <w:lang w:val="en-US" w:eastAsia="zh-CN"/>
              </w:rPr>
              <w:t>2) to learn and refer to the internal and external best practices (excellent cases) to carry out innovation and reform within the Study Group and improve working methods.</w:t>
            </w:r>
          </w:p>
        </w:tc>
        <w:tc>
          <w:tcPr>
            <w:tcW w:w="1842" w:type="dxa"/>
            <w:tcBorders>
              <w:top w:val="single" w:sz="4" w:space="0" w:color="auto"/>
              <w:left w:val="single" w:sz="12" w:space="0" w:color="auto"/>
              <w:bottom w:val="single" w:sz="4" w:space="0" w:color="auto"/>
              <w:right w:val="single" w:sz="12" w:space="0" w:color="auto"/>
            </w:tcBorders>
            <w:hideMark/>
          </w:tcPr>
          <w:p w14:paraId="047507B0" w14:textId="77777777" w:rsidR="00F8236B" w:rsidRPr="002C272D" w:rsidRDefault="00F8236B">
            <w:pPr>
              <w:pStyle w:val="Tabletext"/>
              <w:keepNext/>
              <w:rPr>
                <w:rFonts w:asciiTheme="minorHAnsi" w:hAnsiTheme="minorHAnsi" w:cstheme="minorHAnsi"/>
                <w:sz w:val="24"/>
                <w:szCs w:val="24"/>
                <w:lang w:val="en-US" w:eastAsia="zh-CN"/>
              </w:rPr>
            </w:pPr>
            <w:hyperlink r:id="rId13" w:history="1">
              <w:r w:rsidRPr="002C272D">
                <w:rPr>
                  <w:rStyle w:val="Hyperlink"/>
                  <w:rFonts w:asciiTheme="minorHAnsi" w:hAnsiTheme="minorHAnsi" w:cstheme="minorHAnsi"/>
                  <w:sz w:val="24"/>
                  <w:szCs w:val="24"/>
                  <w:lang w:val="en-US" w:eastAsia="zh-CN"/>
                </w:rPr>
                <w:t>C120</w:t>
              </w:r>
            </w:hyperlink>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14:paraId="2FBE3515"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646D5755"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When discussing the restructuring proposals, it should be assumed that SG can be classified into the following categories: the most stable – SGs with the established ecosystem, including regional groups; the least extensible – SGs which have a sufficient amount of work and experts, which further increasing will result in a manageability crisis in them; other (possibly restructure ready) – SGs with relatively disparate questions or those questions where involvement of SGs should be reviewed (or have already been proposed to review).</w:t>
            </w:r>
          </w:p>
          <w:p w14:paraId="51BC49B2"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The ITU-T SG restructuring should not be an end </w:t>
            </w:r>
            <w:proofErr w:type="gramStart"/>
            <w:r w:rsidRPr="002C272D">
              <w:rPr>
                <w:rFonts w:cstheme="minorHAnsi"/>
                <w:sz w:val="24"/>
                <w:szCs w:val="24"/>
                <w:lang w:val="en-US" w:eastAsia="zh-CN"/>
              </w:rPr>
              <w:t>in itself and</w:t>
            </w:r>
            <w:proofErr w:type="gramEnd"/>
            <w:r w:rsidRPr="002C272D">
              <w:rPr>
                <w:rFonts w:cstheme="minorHAnsi"/>
                <w:sz w:val="24"/>
                <w:szCs w:val="24"/>
                <w:lang w:val="en-US" w:eastAsia="zh-CN"/>
              </w:rPr>
              <w:t xml:space="preserve"> should not lead to the creation super SGs whose volume of questions and number of participants may result in either increasing their management time and costs or in a total loss of their manageability.</w:t>
            </w:r>
          </w:p>
          <w:p w14:paraId="3F640822"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Distribution and redistribution of the questions between SGs to be considered at TSAG in September 2020, </w:t>
            </w:r>
            <w:proofErr w:type="gramStart"/>
            <w:r w:rsidRPr="002C272D">
              <w:rPr>
                <w:rFonts w:cstheme="minorHAnsi"/>
                <w:sz w:val="24"/>
                <w:szCs w:val="24"/>
                <w:lang w:val="en-US" w:eastAsia="zh-CN"/>
              </w:rPr>
              <w:t>taking into account</w:t>
            </w:r>
            <w:proofErr w:type="gramEnd"/>
            <w:r w:rsidRPr="002C272D">
              <w:rPr>
                <w:rFonts w:cstheme="minorHAnsi"/>
                <w:sz w:val="24"/>
                <w:szCs w:val="24"/>
                <w:lang w:val="en-US" w:eastAsia="zh-CN"/>
              </w:rPr>
              <w:t xml:space="preserve"> discussions in the Study Groups and at Regional Preparatory Meetings.</w:t>
            </w:r>
          </w:p>
        </w:tc>
        <w:tc>
          <w:tcPr>
            <w:tcW w:w="1842" w:type="dxa"/>
            <w:tcBorders>
              <w:top w:val="single" w:sz="4" w:space="0" w:color="auto"/>
              <w:left w:val="single" w:sz="12" w:space="0" w:color="auto"/>
              <w:bottom w:val="single" w:sz="4" w:space="0" w:color="auto"/>
              <w:right w:val="single" w:sz="12" w:space="0" w:color="auto"/>
            </w:tcBorders>
            <w:hideMark/>
          </w:tcPr>
          <w:p w14:paraId="7B98CB5A" w14:textId="77777777" w:rsidR="00F8236B" w:rsidRPr="002C272D" w:rsidRDefault="00F8236B">
            <w:pPr>
              <w:pStyle w:val="Tabletext"/>
              <w:keepNext/>
              <w:rPr>
                <w:rFonts w:asciiTheme="minorHAnsi" w:hAnsiTheme="minorHAnsi" w:cstheme="minorHAnsi"/>
                <w:sz w:val="24"/>
                <w:szCs w:val="24"/>
                <w:lang w:val="en-US" w:eastAsia="zh-CN"/>
              </w:rPr>
            </w:pPr>
            <w:hyperlink r:id="rId14" w:history="1">
              <w:r w:rsidRPr="002C272D">
                <w:rPr>
                  <w:rStyle w:val="Hyperlink"/>
                  <w:rFonts w:asciiTheme="minorHAnsi" w:hAnsiTheme="minorHAnsi" w:cstheme="minorHAnsi"/>
                  <w:sz w:val="24"/>
                  <w:szCs w:val="24"/>
                  <w:lang w:val="en-US" w:eastAsia="zh-CN"/>
                </w:rPr>
                <w:t>C125</w:t>
              </w:r>
            </w:hyperlink>
            <w:r w:rsidRPr="002C272D">
              <w:rPr>
                <w:rStyle w:val="Hyperlink"/>
                <w:rFonts w:asciiTheme="minorHAnsi" w:hAnsiTheme="minorHAnsi" w:cstheme="minorHAnsi"/>
                <w:sz w:val="24"/>
                <w:szCs w:val="24"/>
                <w:lang w:val="en-US" w:eastAsia="zh-CN"/>
              </w:rPr>
              <w:t xml:space="preserve"> (Russia)</w:t>
            </w:r>
          </w:p>
        </w:tc>
      </w:tr>
      <w:tr w:rsidR="00F8236B" w:rsidRPr="002C272D" w14:paraId="0C2F73A8"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2F0723FF" w14:textId="77777777"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en-US"/>
              </w:rPr>
              <w:t>The requirements for true synergies in the new study groups and their associated risks</w:t>
            </w:r>
          </w:p>
          <w:p w14:paraId="3FFCBE69" w14:textId="77777777"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en-US"/>
              </w:rPr>
              <w:lastRenderedPageBreak/>
              <w:t>Keep SG15 as it is</w:t>
            </w:r>
          </w:p>
          <w:p w14:paraId="5E2194A4" w14:textId="77777777"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en-US"/>
              </w:rPr>
              <w:t>Not to split security into multiple working parties or study groups and rather regroup it in one study group.</w:t>
            </w:r>
          </w:p>
          <w:p w14:paraId="495030E4" w14:textId="77777777"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en-US"/>
              </w:rPr>
              <w:t xml:space="preserve">A structure which considers the reality of resources and the maturity of the topics by regrouping all the work in one entity rather than diluting it across study groups, for example regrouping all Quantum activities in one working party in one study group, another example being the OID and Directory community to keep together and protected (other examples to be considered, </w:t>
            </w:r>
            <w:proofErr w:type="gramStart"/>
            <w:r w:rsidRPr="002C272D">
              <w:rPr>
                <w:rFonts w:cstheme="minorHAnsi"/>
                <w:sz w:val="24"/>
                <w:szCs w:val="24"/>
                <w:lang w:val="en-US" w:eastAsia="en-US"/>
              </w:rPr>
              <w:t>e.g.</w:t>
            </w:r>
            <w:proofErr w:type="gramEnd"/>
            <w:r w:rsidRPr="002C272D">
              <w:rPr>
                <w:rFonts w:cstheme="minorHAnsi"/>
                <w:sz w:val="24"/>
                <w:szCs w:val="24"/>
                <w:lang w:val="en-US" w:eastAsia="en-US"/>
              </w:rPr>
              <w:t xml:space="preserve"> DLT).</w:t>
            </w:r>
          </w:p>
        </w:tc>
        <w:tc>
          <w:tcPr>
            <w:tcW w:w="1842" w:type="dxa"/>
            <w:tcBorders>
              <w:top w:val="single" w:sz="4" w:space="0" w:color="auto"/>
              <w:left w:val="single" w:sz="12" w:space="0" w:color="auto"/>
              <w:bottom w:val="single" w:sz="4" w:space="0" w:color="auto"/>
              <w:right w:val="single" w:sz="12" w:space="0" w:color="auto"/>
            </w:tcBorders>
            <w:hideMark/>
          </w:tcPr>
          <w:p w14:paraId="24708873" w14:textId="77777777" w:rsidR="00F8236B" w:rsidRPr="002C272D" w:rsidRDefault="00F8236B">
            <w:pPr>
              <w:pStyle w:val="Tabletext"/>
              <w:keepNext/>
              <w:rPr>
                <w:rFonts w:asciiTheme="minorHAnsi" w:hAnsiTheme="minorHAnsi" w:cstheme="minorHAnsi"/>
                <w:sz w:val="24"/>
                <w:szCs w:val="24"/>
                <w:lang w:val="en-US" w:eastAsia="zh-CN"/>
              </w:rPr>
            </w:pPr>
            <w:hyperlink r:id="rId15" w:history="1">
              <w:r w:rsidRPr="002C272D">
                <w:rPr>
                  <w:rStyle w:val="Hyperlink"/>
                  <w:rFonts w:asciiTheme="minorHAnsi" w:hAnsiTheme="minorHAnsi" w:cstheme="minorHAnsi"/>
                  <w:sz w:val="24"/>
                  <w:szCs w:val="24"/>
                  <w:lang w:val="en-US" w:eastAsia="zh-CN"/>
                </w:rPr>
                <w:t>C129</w:t>
              </w:r>
            </w:hyperlink>
            <w:r w:rsidRPr="002C272D">
              <w:rPr>
                <w:rStyle w:val="Hyperlink"/>
                <w:rFonts w:asciiTheme="minorHAnsi" w:hAnsiTheme="minorHAnsi" w:cstheme="minorHAnsi"/>
                <w:sz w:val="24"/>
                <w:szCs w:val="24"/>
                <w:lang w:val="en-US" w:eastAsia="zh-CN"/>
              </w:rPr>
              <w:t xml:space="preserve"> (Broadcom)</w:t>
            </w:r>
          </w:p>
        </w:tc>
      </w:tr>
      <w:tr w:rsidR="00F8236B" w:rsidRPr="002C272D" w14:paraId="0FD48AB1"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13749946" w14:textId="77777777"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zh-CN"/>
              </w:rPr>
              <w:t>Identifying overlaps on scope and mandates of the current SGs.</w:t>
            </w:r>
          </w:p>
          <w:p w14:paraId="7B28D078" w14:textId="77777777"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zh-CN"/>
              </w:rPr>
              <w:t>Mapping various questions and work items under each SG.</w:t>
            </w:r>
          </w:p>
        </w:tc>
        <w:tc>
          <w:tcPr>
            <w:tcW w:w="1842" w:type="dxa"/>
            <w:tcBorders>
              <w:top w:val="single" w:sz="4" w:space="0" w:color="auto"/>
              <w:left w:val="single" w:sz="12" w:space="0" w:color="auto"/>
              <w:bottom w:val="single" w:sz="4" w:space="0" w:color="auto"/>
              <w:right w:val="single" w:sz="12" w:space="0" w:color="auto"/>
            </w:tcBorders>
            <w:hideMark/>
          </w:tcPr>
          <w:p w14:paraId="67D274B7" w14:textId="77777777" w:rsidR="00F8236B" w:rsidRPr="002C272D" w:rsidRDefault="00F8236B">
            <w:pPr>
              <w:pStyle w:val="Tabletext"/>
              <w:keepNext/>
              <w:rPr>
                <w:rFonts w:asciiTheme="minorHAnsi" w:hAnsiTheme="minorHAnsi" w:cstheme="minorHAnsi"/>
                <w:sz w:val="24"/>
                <w:szCs w:val="24"/>
                <w:lang w:val="en-US" w:eastAsia="zh-CN"/>
              </w:rPr>
            </w:pPr>
            <w:hyperlink r:id="rId16" w:history="1">
              <w:r w:rsidRPr="002C272D">
                <w:rPr>
                  <w:rStyle w:val="Hyperlink"/>
                  <w:rFonts w:asciiTheme="minorHAnsi" w:hAnsiTheme="minorHAnsi" w:cstheme="minorHAnsi"/>
                  <w:sz w:val="24"/>
                  <w:szCs w:val="24"/>
                  <w:lang w:val="en-US" w:eastAsia="zh-CN"/>
                </w:rPr>
                <w:t>C134</w:t>
              </w:r>
            </w:hyperlink>
            <w:r w:rsidRPr="002C272D">
              <w:rPr>
                <w:rStyle w:val="Hyperlink"/>
                <w:rFonts w:asciiTheme="minorHAnsi" w:hAnsiTheme="minorHAnsi" w:cstheme="minorHAnsi"/>
                <w:sz w:val="24"/>
                <w:szCs w:val="24"/>
                <w:lang w:val="en-US" w:eastAsia="zh-CN"/>
              </w:rPr>
              <w:t xml:space="preserve"> (India)</w:t>
            </w:r>
          </w:p>
        </w:tc>
      </w:tr>
      <w:tr w:rsidR="00F8236B" w:rsidRPr="002C272D" w14:paraId="15924CFB" w14:textId="77777777" w:rsidTr="009617B8">
        <w:trPr>
          <w:gridBefore w:val="1"/>
          <w:wBefore w:w="428" w:type="dxa"/>
          <w:trHeight w:val="9873"/>
          <w:jc w:val="center"/>
        </w:trPr>
        <w:tc>
          <w:tcPr>
            <w:tcW w:w="7339" w:type="dxa"/>
            <w:tcBorders>
              <w:top w:val="single" w:sz="4" w:space="0" w:color="auto"/>
              <w:left w:val="single" w:sz="12" w:space="0" w:color="auto"/>
              <w:bottom w:val="single" w:sz="4" w:space="0" w:color="auto"/>
              <w:right w:val="single" w:sz="12" w:space="0" w:color="auto"/>
            </w:tcBorders>
            <w:hideMark/>
          </w:tcPr>
          <w:p w14:paraId="67D96597"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Standards developed by the ITU-T should be inherently technical in nature, designed to ensure good uptake on an industry-wide level and have global-scale applicability, and apply to all ITU Regions. Standards should be developed with the necessary expertise and background needed and required for a substantive outcome.</w:t>
            </w:r>
          </w:p>
          <w:p w14:paraId="1A1B4207"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The number of study groups should not exceed 11. The current number of ITU-T Study Groups is 11 and although this can be seen as a stable number, it may not be the most efficient and effective structure. A reduction in the overall number of study groups could allow for more efficient and accessible work in the ITU-T Study Groups. This is because most member states have trouble covering all the ITU-T study groups and many member states can only attend one or two. Conversely, if more study groups were to be established there would be more overlap between study groups </w:t>
            </w:r>
            <w:proofErr w:type="gramStart"/>
            <w:r w:rsidRPr="002C272D">
              <w:rPr>
                <w:rFonts w:cstheme="minorHAnsi"/>
                <w:sz w:val="24"/>
                <w:szCs w:val="24"/>
                <w:lang w:val="en-US" w:eastAsia="zh-CN"/>
              </w:rPr>
              <w:t>and also</w:t>
            </w:r>
            <w:proofErr w:type="gramEnd"/>
            <w:r w:rsidRPr="002C272D">
              <w:rPr>
                <w:rFonts w:cstheme="minorHAnsi"/>
                <w:sz w:val="24"/>
                <w:szCs w:val="24"/>
                <w:lang w:val="en-US" w:eastAsia="zh-CN"/>
              </w:rPr>
              <w:t xml:space="preserve"> between study group meetings and additional meetings (such as Focus Groups and Joint Coordination Groups). Overall, more study groups would likely result in a less participation.</w:t>
            </w:r>
            <w:r w:rsidRPr="002C272D">
              <w:rPr>
                <w:rFonts w:cstheme="minorHAnsi"/>
                <w:sz w:val="24"/>
                <w:szCs w:val="24"/>
                <w:lang w:val="en-US" w:eastAsia="zh-CN"/>
              </w:rPr>
              <w:br/>
            </w:r>
            <w:r w:rsidRPr="002C272D">
              <w:rPr>
                <w:rFonts w:cstheme="minorHAnsi"/>
                <w:sz w:val="24"/>
                <w:szCs w:val="24"/>
                <w:lang w:val="en-US" w:eastAsia="zh-CN"/>
              </w:rPr>
              <w:br/>
              <w:t xml:space="preserve">When establishing Focus Groups, Joint Coordination Groups, Global Standards Initiatives or workshops, care should be taken to not duplicate existing work already undertaken in the ITU-T study groups and other groups as well as outside of the ITU in other SDOs. </w:t>
            </w:r>
          </w:p>
          <w:p w14:paraId="22C0B6CD"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Questions within study groups should be limited in number and general in scope. This will help to facilitate engagement and participation by members as well as efficiency in work item allocation amongst questions. When there are many study questions these should be merged and streamlined. The focus of the work should be on work items in each study question rather than increasing the overall number of study questions. This focus on work items creates a streamlined management and organisational process and allows for work items to be reviewed, </w:t>
            </w:r>
            <w:proofErr w:type="gramStart"/>
            <w:r w:rsidRPr="002C272D">
              <w:rPr>
                <w:rFonts w:cstheme="minorHAnsi"/>
                <w:sz w:val="24"/>
                <w:szCs w:val="24"/>
                <w:lang w:val="en-US" w:eastAsia="zh-CN"/>
              </w:rPr>
              <w:t>discussed</w:t>
            </w:r>
            <w:proofErr w:type="gramEnd"/>
            <w:r w:rsidRPr="002C272D">
              <w:rPr>
                <w:rFonts w:cstheme="minorHAnsi"/>
                <w:sz w:val="24"/>
                <w:szCs w:val="24"/>
                <w:lang w:val="en-US" w:eastAsia="zh-CN"/>
              </w:rPr>
              <w:t xml:space="preserve"> and developed in a more efficient and transparent manner.</w:t>
            </w:r>
          </w:p>
          <w:p w14:paraId="5631890C"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lastRenderedPageBreak/>
              <w:t>Standardisation of new and emerging technologies should be integrated into existing study groups with similar issues and merged into study questions, where applicable and agreed by the ITU membership.</w:t>
            </w:r>
          </w:p>
        </w:tc>
        <w:tc>
          <w:tcPr>
            <w:tcW w:w="1842" w:type="dxa"/>
            <w:tcBorders>
              <w:top w:val="single" w:sz="4" w:space="0" w:color="auto"/>
              <w:left w:val="single" w:sz="12" w:space="0" w:color="auto"/>
              <w:bottom w:val="single" w:sz="4" w:space="0" w:color="auto"/>
              <w:right w:val="single" w:sz="12" w:space="0" w:color="auto"/>
            </w:tcBorders>
            <w:hideMark/>
          </w:tcPr>
          <w:p w14:paraId="45638280" w14:textId="77777777" w:rsidR="00F8236B" w:rsidRPr="002C272D" w:rsidRDefault="00F8236B">
            <w:pPr>
              <w:pStyle w:val="Tabletext"/>
              <w:keepNext/>
              <w:rPr>
                <w:rFonts w:asciiTheme="minorHAnsi" w:hAnsiTheme="minorHAnsi" w:cstheme="minorHAnsi"/>
                <w:sz w:val="24"/>
                <w:szCs w:val="24"/>
                <w:lang w:val="en-US"/>
              </w:rPr>
            </w:pPr>
            <w:r w:rsidRPr="002C272D">
              <w:rPr>
                <w:rFonts w:asciiTheme="minorHAnsi" w:hAnsiTheme="minorHAnsi" w:cstheme="minorHAnsi"/>
                <w:sz w:val="24"/>
                <w:szCs w:val="24"/>
                <w:lang w:val="en-US"/>
              </w:rPr>
              <w:lastRenderedPageBreak/>
              <w:t>C157 (Finland, France, Germany, Sweden, The Netherlands, and United Kingdom)</w:t>
            </w:r>
          </w:p>
        </w:tc>
      </w:tr>
      <w:tr w:rsidR="00F8236B" w:rsidRPr="002C272D" w14:paraId="2DB7C8AD" w14:textId="77777777" w:rsidTr="009617B8">
        <w:trPr>
          <w:gridBefore w:val="1"/>
          <w:wBefore w:w="428" w:type="dxa"/>
          <w:trHeight w:val="9873"/>
          <w:jc w:val="center"/>
        </w:trPr>
        <w:tc>
          <w:tcPr>
            <w:tcW w:w="7339" w:type="dxa"/>
            <w:tcBorders>
              <w:top w:val="single" w:sz="4" w:space="0" w:color="auto"/>
              <w:left w:val="single" w:sz="12" w:space="0" w:color="auto"/>
              <w:bottom w:val="single" w:sz="4" w:space="0" w:color="auto"/>
              <w:right w:val="single" w:sz="12" w:space="0" w:color="auto"/>
            </w:tcBorders>
            <w:hideMark/>
          </w:tcPr>
          <w:p w14:paraId="28A002EA"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lastRenderedPageBreak/>
              <w:t xml:space="preserve">A-1) This principle could be identified via the comprehensive analysis report on statistics metrics of each SG’s participants, contributions, published Recommendations and their influence </w:t>
            </w:r>
            <w:proofErr w:type="gramStart"/>
            <w:r w:rsidRPr="002C272D">
              <w:rPr>
                <w:rFonts w:cstheme="minorHAnsi"/>
                <w:sz w:val="24"/>
                <w:szCs w:val="24"/>
                <w:lang w:val="en-US" w:eastAsia="zh-CN"/>
              </w:rPr>
              <w:t>to</w:t>
            </w:r>
            <w:proofErr w:type="gramEnd"/>
            <w:r w:rsidRPr="002C272D">
              <w:rPr>
                <w:rFonts w:cstheme="minorHAnsi"/>
                <w:sz w:val="24"/>
                <w:szCs w:val="24"/>
                <w:lang w:val="en-US" w:eastAsia="zh-CN"/>
              </w:rPr>
              <w:t xml:space="preserve"> the industry in 2017-2020, provided by TSB and TSAG. The restructure proposal from SGs should be respected and </w:t>
            </w:r>
            <w:proofErr w:type="gramStart"/>
            <w:r w:rsidRPr="002C272D">
              <w:rPr>
                <w:rFonts w:cstheme="minorHAnsi"/>
                <w:sz w:val="24"/>
                <w:szCs w:val="24"/>
                <w:lang w:val="en-US" w:eastAsia="zh-CN"/>
              </w:rPr>
              <w:t>taken into account</w:t>
            </w:r>
            <w:proofErr w:type="gramEnd"/>
            <w:r w:rsidRPr="002C272D">
              <w:rPr>
                <w:rFonts w:cstheme="minorHAnsi"/>
                <w:sz w:val="24"/>
                <w:szCs w:val="24"/>
                <w:lang w:val="en-US" w:eastAsia="zh-CN"/>
              </w:rPr>
              <w:t>.</w:t>
            </w:r>
          </w:p>
          <w:p w14:paraId="1D9C9AA9"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A-2) It’s recommended to strength the current active and productive Study Groups. The internal restructuring and innovation within these SG are the most fundamental driven force of ITU-T’s success. Study Group could work in a more flexible way to set up, adjust or terminate its Questions, even Working Parties on demand of </w:t>
            </w:r>
            <w:proofErr w:type="gramStart"/>
            <w:r w:rsidRPr="002C272D">
              <w:rPr>
                <w:rFonts w:cstheme="minorHAnsi"/>
                <w:sz w:val="24"/>
                <w:szCs w:val="24"/>
                <w:lang w:val="en-US" w:eastAsia="zh-CN"/>
              </w:rPr>
              <w:t>the  requirements</w:t>
            </w:r>
            <w:proofErr w:type="gramEnd"/>
            <w:r w:rsidRPr="002C272D">
              <w:rPr>
                <w:rFonts w:cstheme="minorHAnsi"/>
                <w:sz w:val="24"/>
                <w:szCs w:val="24"/>
                <w:lang w:val="en-US" w:eastAsia="zh-CN"/>
              </w:rPr>
              <w:t xml:space="preserve"> from ITU-T members and industry on the new standards for the emerging ICT areas. </w:t>
            </w:r>
          </w:p>
          <w:p w14:paraId="1BE5FC18"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A-3) It’s recommended to appropriately adjust the individual study group which is not active or productive with significantly reduced participants, </w:t>
            </w:r>
            <w:proofErr w:type="gramStart"/>
            <w:r w:rsidRPr="002C272D">
              <w:rPr>
                <w:rFonts w:cstheme="minorHAnsi"/>
                <w:sz w:val="24"/>
                <w:szCs w:val="24"/>
                <w:lang w:val="en-US" w:eastAsia="zh-CN"/>
              </w:rPr>
              <w:t>contributions</w:t>
            </w:r>
            <w:proofErr w:type="gramEnd"/>
            <w:r w:rsidRPr="002C272D">
              <w:rPr>
                <w:rFonts w:cstheme="minorHAnsi"/>
                <w:sz w:val="24"/>
                <w:szCs w:val="24"/>
                <w:lang w:val="en-US" w:eastAsia="zh-CN"/>
              </w:rPr>
              <w:t xml:space="preserve"> and published recommendations than last study period.</w:t>
            </w:r>
          </w:p>
          <w:p w14:paraId="6104EF1F"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A-4) The SG restructure is not a simple recombination of existing Working Parties of many SGs. Excessive and unnecessary merger should be prevented to avoid many negative effects, such as the instability of management teams and reorganization the works of many SGs, the loss of members and experts, the slow progress of standardization, weaken the influence of ITU-T, disruption the continuity of existing standardization ecosystems, </w:t>
            </w:r>
            <w:proofErr w:type="gramStart"/>
            <w:r w:rsidRPr="002C272D">
              <w:rPr>
                <w:rFonts w:cstheme="minorHAnsi"/>
                <w:sz w:val="24"/>
                <w:szCs w:val="24"/>
                <w:lang w:val="en-US" w:eastAsia="zh-CN"/>
              </w:rPr>
              <w:t>and etc.</w:t>
            </w:r>
            <w:proofErr w:type="gramEnd"/>
            <w:r w:rsidRPr="002C272D">
              <w:rPr>
                <w:rFonts w:cstheme="minorHAnsi"/>
                <w:sz w:val="24"/>
                <w:szCs w:val="24"/>
                <w:lang w:val="en-US" w:eastAsia="zh-CN"/>
              </w:rPr>
              <w:t xml:space="preserve"> That will be irreparable long-term losses to ITU-T.</w:t>
            </w:r>
          </w:p>
        </w:tc>
        <w:tc>
          <w:tcPr>
            <w:tcW w:w="1842" w:type="dxa"/>
            <w:tcBorders>
              <w:top w:val="single" w:sz="4" w:space="0" w:color="auto"/>
              <w:left w:val="single" w:sz="12" w:space="0" w:color="auto"/>
              <w:bottom w:val="single" w:sz="4" w:space="0" w:color="auto"/>
              <w:right w:val="single" w:sz="12" w:space="0" w:color="auto"/>
            </w:tcBorders>
            <w:hideMark/>
          </w:tcPr>
          <w:p w14:paraId="15566044" w14:textId="77777777" w:rsidR="00F8236B" w:rsidRPr="002C272D" w:rsidRDefault="00F8236B">
            <w:pPr>
              <w:pStyle w:val="Tabletext"/>
              <w:keepNext/>
              <w:rPr>
                <w:rFonts w:asciiTheme="minorHAnsi" w:hAnsiTheme="minorHAnsi" w:cstheme="minorHAnsi"/>
                <w:sz w:val="24"/>
                <w:szCs w:val="24"/>
                <w:lang w:val="en-US"/>
              </w:rPr>
            </w:pPr>
            <w:hyperlink r:id="rId17" w:history="1">
              <w:r w:rsidRPr="002C272D">
                <w:rPr>
                  <w:rStyle w:val="Hyperlink"/>
                  <w:rFonts w:asciiTheme="minorHAnsi" w:hAnsiTheme="minorHAnsi" w:cstheme="minorHAnsi"/>
                  <w:sz w:val="24"/>
                  <w:szCs w:val="24"/>
                  <w:lang w:val="en-US"/>
                </w:rPr>
                <w:t>RGWP-C4</w:t>
              </w:r>
            </w:hyperlink>
            <w:r w:rsidRPr="002C272D">
              <w:rPr>
                <w:rStyle w:val="Hyperlink"/>
                <w:rFonts w:asciiTheme="minorHAnsi" w:hAnsiTheme="minorHAnsi" w:cstheme="minorHAnsi"/>
                <w:sz w:val="24"/>
                <w:szCs w:val="24"/>
                <w:lang w:val="en-US"/>
              </w:rPr>
              <w:t xml:space="preserve"> (MIIT, China)</w:t>
            </w:r>
          </w:p>
        </w:tc>
      </w:tr>
      <w:tr w:rsidR="00F8236B" w:rsidRPr="002C272D" w14:paraId="6239EA35" w14:textId="77777777" w:rsidTr="009617B8">
        <w:trPr>
          <w:gridBefore w:val="1"/>
          <w:wBefore w:w="428" w:type="dxa"/>
          <w:trHeight w:val="9873"/>
          <w:jc w:val="center"/>
        </w:trPr>
        <w:tc>
          <w:tcPr>
            <w:tcW w:w="7339" w:type="dxa"/>
            <w:tcBorders>
              <w:top w:val="single" w:sz="4" w:space="0" w:color="auto"/>
              <w:left w:val="single" w:sz="12" w:space="0" w:color="auto"/>
              <w:bottom w:val="single" w:sz="4" w:space="0" w:color="auto"/>
              <w:right w:val="single" w:sz="12" w:space="0" w:color="auto"/>
            </w:tcBorders>
            <w:hideMark/>
          </w:tcPr>
          <w:p w14:paraId="7E9A629F"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lastRenderedPageBreak/>
              <w:t xml:space="preserve">A-1) To ensure an optimized structure, there should be comprehensive analysis on statistics metrics of each Study Groups participants, contributions, published Recommendations, outputs of both the Study Groups and Rapporteur Groups, and their influence </w:t>
            </w:r>
            <w:proofErr w:type="gramStart"/>
            <w:r w:rsidRPr="002C272D">
              <w:rPr>
                <w:rFonts w:cstheme="minorHAnsi"/>
                <w:sz w:val="24"/>
                <w:szCs w:val="24"/>
                <w:lang w:val="en-US" w:eastAsia="zh-CN"/>
              </w:rPr>
              <w:t>to</w:t>
            </w:r>
            <w:proofErr w:type="gramEnd"/>
            <w:r w:rsidRPr="002C272D">
              <w:rPr>
                <w:rFonts w:cstheme="minorHAnsi"/>
                <w:sz w:val="24"/>
                <w:szCs w:val="24"/>
                <w:lang w:val="en-US" w:eastAsia="zh-CN"/>
              </w:rPr>
              <w:t xml:space="preserve"> the industry in 2017-2020, provided by TSB and TSAG could be undertaken to facilitate this principle. The proposals on modification of WTSA Res.2 agreed by SGs should be </w:t>
            </w:r>
            <w:proofErr w:type="gramStart"/>
            <w:r w:rsidRPr="002C272D">
              <w:rPr>
                <w:rFonts w:cstheme="minorHAnsi"/>
                <w:sz w:val="24"/>
                <w:szCs w:val="24"/>
                <w:lang w:val="en-US" w:eastAsia="zh-CN"/>
              </w:rPr>
              <w:t>taken into account</w:t>
            </w:r>
            <w:proofErr w:type="gramEnd"/>
            <w:r w:rsidRPr="002C272D">
              <w:rPr>
                <w:rFonts w:cstheme="minorHAnsi"/>
                <w:sz w:val="24"/>
                <w:szCs w:val="24"/>
                <w:lang w:val="en-US" w:eastAsia="zh-CN"/>
              </w:rPr>
              <w:t>.</w:t>
            </w:r>
          </w:p>
          <w:p w14:paraId="03C65C6F"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A-2) The strengthening of the current active Study Groups should be undertaken based on the analysis of metrics. The internal restructuring within these Study Groups </w:t>
            </w:r>
            <w:proofErr w:type="gramStart"/>
            <w:r w:rsidRPr="002C272D">
              <w:rPr>
                <w:rFonts w:cstheme="minorHAnsi"/>
                <w:sz w:val="24"/>
                <w:szCs w:val="24"/>
                <w:lang w:val="en-US" w:eastAsia="zh-CN"/>
              </w:rPr>
              <w:t>are</w:t>
            </w:r>
            <w:proofErr w:type="gramEnd"/>
            <w:r w:rsidRPr="002C272D">
              <w:rPr>
                <w:rFonts w:cstheme="minorHAnsi"/>
                <w:sz w:val="24"/>
                <w:szCs w:val="24"/>
                <w:lang w:val="en-US" w:eastAsia="zh-CN"/>
              </w:rPr>
              <w:t xml:space="preserve"> an important driving force of ITU-T’s success. </w:t>
            </w:r>
          </w:p>
          <w:p w14:paraId="6BD4CCBD"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A-3) Where appropriate, adjust the individual Study Groups that are not active due to a decline in participants, </w:t>
            </w:r>
            <w:proofErr w:type="gramStart"/>
            <w:r w:rsidRPr="002C272D">
              <w:rPr>
                <w:rFonts w:cstheme="minorHAnsi"/>
                <w:sz w:val="24"/>
                <w:szCs w:val="24"/>
                <w:lang w:val="en-US" w:eastAsia="zh-CN"/>
              </w:rPr>
              <w:t>contributions</w:t>
            </w:r>
            <w:proofErr w:type="gramEnd"/>
            <w:r w:rsidRPr="002C272D">
              <w:rPr>
                <w:rFonts w:cstheme="minorHAnsi"/>
                <w:sz w:val="24"/>
                <w:szCs w:val="24"/>
                <w:lang w:val="en-US" w:eastAsia="zh-CN"/>
              </w:rPr>
              <w:t xml:space="preserve"> and published Recommendations for the last study period after an appropriate analysis and review has been carried out to determine the Study Group’s feasibility.</w:t>
            </w:r>
          </w:p>
          <w:p w14:paraId="5DBF5443" w14:textId="77777777"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A-4) To ensure the stable operations of the Study Groups, excessive merger and reorganization should be prevented, if appropriate. </w:t>
            </w:r>
          </w:p>
        </w:tc>
        <w:tc>
          <w:tcPr>
            <w:tcW w:w="1842" w:type="dxa"/>
            <w:tcBorders>
              <w:top w:val="single" w:sz="4" w:space="0" w:color="auto"/>
              <w:left w:val="single" w:sz="12" w:space="0" w:color="auto"/>
              <w:bottom w:val="single" w:sz="4" w:space="0" w:color="auto"/>
              <w:right w:val="single" w:sz="12" w:space="0" w:color="auto"/>
            </w:tcBorders>
            <w:hideMark/>
          </w:tcPr>
          <w:p w14:paraId="101073DF" w14:textId="77777777" w:rsidR="00F8236B" w:rsidRPr="002C272D" w:rsidRDefault="00F8236B">
            <w:pPr>
              <w:pStyle w:val="Tabletext"/>
              <w:keepNext/>
              <w:rPr>
                <w:rFonts w:asciiTheme="minorHAnsi" w:hAnsiTheme="minorHAnsi" w:cstheme="minorHAnsi"/>
                <w:sz w:val="24"/>
                <w:szCs w:val="24"/>
                <w:lang w:val="en-US"/>
              </w:rPr>
            </w:pPr>
            <w:hyperlink r:id="rId18" w:history="1">
              <w:r w:rsidRPr="002C272D">
                <w:rPr>
                  <w:rStyle w:val="Hyperlink"/>
                  <w:rFonts w:asciiTheme="minorHAnsi" w:hAnsiTheme="minorHAnsi" w:cstheme="minorHAnsi"/>
                  <w:sz w:val="24"/>
                  <w:szCs w:val="24"/>
                  <w:lang w:val="en-US"/>
                </w:rPr>
                <w:t>RGWP-C2(201208)</w:t>
              </w:r>
            </w:hyperlink>
            <w:r w:rsidRPr="002C272D">
              <w:rPr>
                <w:rFonts w:asciiTheme="minorHAnsi" w:hAnsiTheme="minorHAnsi" w:cstheme="minorHAnsi"/>
                <w:sz w:val="24"/>
                <w:szCs w:val="24"/>
                <w:lang w:val="en-US"/>
              </w:rPr>
              <w:t>(APT)</w:t>
            </w:r>
          </w:p>
        </w:tc>
      </w:tr>
      <w:tr w:rsidR="00F8236B" w:rsidRPr="002C272D" w14:paraId="4E671BD1" w14:textId="77777777"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14:paraId="62DAD5EF" w14:textId="77777777" w:rsidR="00F8236B" w:rsidRPr="002C272D" w:rsidRDefault="00F8236B">
            <w:pPr>
              <w:pStyle w:val="Tabletext"/>
              <w:keepNext/>
              <w:keepLines/>
              <w:spacing w:before="120" w:after="120"/>
              <w:rPr>
                <w:rFonts w:asciiTheme="minorHAnsi" w:hAnsiTheme="minorHAnsi" w:cstheme="minorHAnsi"/>
                <w:b/>
                <w:sz w:val="24"/>
                <w:szCs w:val="24"/>
                <w:lang w:val="en-US"/>
              </w:rPr>
            </w:pPr>
            <w:r w:rsidRPr="002C272D">
              <w:rPr>
                <w:rFonts w:asciiTheme="minorHAnsi" w:hAnsiTheme="minorHAnsi" w:cstheme="minorHAnsi"/>
                <w:b/>
                <w:sz w:val="24"/>
                <w:szCs w:val="24"/>
                <w:lang w:val="en-US"/>
              </w:rPr>
              <w:lastRenderedPageBreak/>
              <w:t>B: Clear mandates</w:t>
            </w:r>
          </w:p>
        </w:tc>
        <w:tc>
          <w:tcPr>
            <w:tcW w:w="1842" w:type="dxa"/>
            <w:tcBorders>
              <w:top w:val="single" w:sz="4" w:space="0" w:color="auto"/>
              <w:left w:val="single" w:sz="12" w:space="0" w:color="auto"/>
              <w:bottom w:val="single" w:sz="4" w:space="0" w:color="auto"/>
              <w:right w:val="single" w:sz="12" w:space="0" w:color="auto"/>
            </w:tcBorders>
            <w:vAlign w:val="center"/>
            <w:hideMark/>
          </w:tcPr>
          <w:p w14:paraId="004E1422" w14:textId="77777777"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14:paraId="71A3444E"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64A2F4FF" w14:textId="77777777" w:rsidR="00F8236B" w:rsidRPr="002C272D" w:rsidRDefault="00F8236B">
            <w:pPr>
              <w:pStyle w:val="ListParagraph"/>
              <w:keepNext/>
              <w:keepLines/>
              <w:widowControl w:val="0"/>
              <w:numPr>
                <w:ilvl w:val="0"/>
                <w:numId w:val="19"/>
              </w:numPr>
              <w:autoSpaceDE w:val="0"/>
              <w:autoSpaceDN w:val="0"/>
              <w:adjustRightInd w:val="0"/>
              <w:spacing w:before="120" w:after="120"/>
              <w:rPr>
                <w:rFonts w:cstheme="minorHAnsi"/>
                <w:sz w:val="24"/>
                <w:szCs w:val="24"/>
                <w:lang w:val="en-US" w:eastAsia="zh-CN"/>
              </w:rPr>
            </w:pPr>
            <w:r w:rsidRPr="002C272D">
              <w:rPr>
                <w:rFonts w:cstheme="minorHAnsi"/>
                <w:sz w:val="24"/>
                <w:szCs w:val="24"/>
                <w:lang w:val="en-US" w:eastAsia="zh-CN"/>
              </w:rPr>
              <w:t>Consolidate the leading position of SG16 in multimedia and digital services field and introduce AI, blockchain, edge computing technology to support more intelligent connectivity applications.</w:t>
            </w:r>
          </w:p>
          <w:p w14:paraId="5A9DBB38" w14:textId="77777777" w:rsidR="00F8236B" w:rsidRPr="002C272D" w:rsidRDefault="00F8236B">
            <w:pPr>
              <w:pStyle w:val="ListParagraph"/>
              <w:keepNext/>
              <w:keepLines/>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Maintaining the integrity and consolidation of SG16 as a gateway to link ICT and OT technical standards is proposed in the overall study group re-structuring. SG16 can share its experience, </w:t>
            </w:r>
            <w:proofErr w:type="gramStart"/>
            <w:r w:rsidRPr="002C272D">
              <w:rPr>
                <w:rFonts w:cstheme="minorHAnsi"/>
                <w:sz w:val="24"/>
                <w:szCs w:val="24"/>
                <w:lang w:val="en-US" w:eastAsia="zh-CN"/>
              </w:rPr>
              <w:t>methodologies</w:t>
            </w:r>
            <w:proofErr w:type="gramEnd"/>
            <w:r w:rsidRPr="002C272D">
              <w:rPr>
                <w:rFonts w:cstheme="minorHAnsi"/>
                <w:sz w:val="24"/>
                <w:szCs w:val="24"/>
                <w:lang w:val="en-US" w:eastAsia="zh-CN"/>
              </w:rPr>
              <w:t xml:space="preserve"> and competence within ITU-T.</w:t>
            </w:r>
          </w:p>
          <w:p w14:paraId="7024325A" w14:textId="77777777" w:rsidR="00F8236B" w:rsidRPr="002C272D" w:rsidRDefault="00F8236B">
            <w:pPr>
              <w:pStyle w:val="ListParagraph"/>
              <w:keepNext/>
              <w:keepLines/>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Industrial requirements to be </w:t>
            </w:r>
            <w:proofErr w:type="gramStart"/>
            <w:r w:rsidRPr="002C272D">
              <w:rPr>
                <w:rFonts w:cstheme="minorHAnsi"/>
                <w:sz w:val="24"/>
                <w:szCs w:val="24"/>
                <w:lang w:val="en-US" w:eastAsia="zh-CN"/>
              </w:rPr>
              <w:t>taken into account</w:t>
            </w:r>
            <w:proofErr w:type="gramEnd"/>
            <w:r w:rsidRPr="002C272D">
              <w:rPr>
                <w:rFonts w:cstheme="minorHAnsi"/>
                <w:sz w:val="24"/>
                <w:szCs w:val="24"/>
                <w:lang w:val="en-US" w:eastAsia="zh-CN"/>
              </w:rPr>
              <w:t xml:space="preserve"> at the upcoming WTSA-2020, such as industrial digital transformation, by adjustment of the work priorities of the ITU-T. While consolidating great advances in standards for inter-connection, ITU-T should elevate its influence at the service </w:t>
            </w:r>
            <w:proofErr w:type="gramStart"/>
            <w:r w:rsidRPr="002C272D">
              <w:rPr>
                <w:rFonts w:cstheme="minorHAnsi"/>
                <w:sz w:val="24"/>
                <w:szCs w:val="24"/>
                <w:lang w:val="en-US" w:eastAsia="zh-CN"/>
              </w:rPr>
              <w:t>layer, and</w:t>
            </w:r>
            <w:proofErr w:type="gramEnd"/>
            <w:r w:rsidRPr="002C272D">
              <w:rPr>
                <w:rFonts w:cstheme="minorHAnsi"/>
                <w:sz w:val="24"/>
                <w:szCs w:val="24"/>
                <w:lang w:val="en-US" w:eastAsia="zh-CN"/>
              </w:rPr>
              <w:t xml:space="preserve"> put more resource at those study groups including SG16.</w:t>
            </w:r>
          </w:p>
        </w:tc>
        <w:tc>
          <w:tcPr>
            <w:tcW w:w="1842" w:type="dxa"/>
            <w:tcBorders>
              <w:top w:val="single" w:sz="4" w:space="0" w:color="auto"/>
              <w:left w:val="single" w:sz="12" w:space="0" w:color="auto"/>
              <w:bottom w:val="single" w:sz="4" w:space="0" w:color="auto"/>
              <w:right w:val="single" w:sz="12" w:space="0" w:color="auto"/>
            </w:tcBorders>
            <w:hideMark/>
          </w:tcPr>
          <w:p w14:paraId="37AC8CD3" w14:textId="77777777" w:rsidR="00F8236B" w:rsidRPr="002C272D" w:rsidRDefault="00F8236B">
            <w:pPr>
              <w:pStyle w:val="Tabletext"/>
              <w:spacing w:before="120" w:after="0"/>
              <w:rPr>
                <w:rFonts w:asciiTheme="minorHAnsi" w:hAnsiTheme="minorHAnsi" w:cstheme="minorHAnsi"/>
                <w:sz w:val="24"/>
                <w:szCs w:val="24"/>
                <w:lang w:val="en-US"/>
              </w:rPr>
            </w:pPr>
            <w:hyperlink r:id="rId19" w:history="1">
              <w:r w:rsidRPr="002C272D">
                <w:rPr>
                  <w:rStyle w:val="Hyperlink"/>
                  <w:rFonts w:asciiTheme="minorHAnsi" w:hAnsiTheme="minorHAnsi" w:cstheme="minorHAnsi"/>
                  <w:sz w:val="24"/>
                  <w:szCs w:val="24"/>
                  <w:lang w:val="en-US" w:eastAsia="zh-CN"/>
                </w:rPr>
                <w:t>C105</w:t>
              </w:r>
            </w:hyperlink>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14:paraId="6BDC6601"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tcPr>
          <w:p w14:paraId="1F805362" w14:textId="77777777" w:rsidR="00F8236B" w:rsidRPr="002C272D" w:rsidRDefault="00F8236B" w:rsidP="003D7BA3">
            <w:pPr>
              <w:spacing w:after="120" w:line="240" w:lineRule="auto"/>
              <w:ind w:left="360"/>
              <w:rPr>
                <w:rFonts w:cstheme="minorHAnsi"/>
                <w:szCs w:val="24"/>
                <w:lang w:val="en-US" w:eastAsia="zh-CN"/>
              </w:rPr>
            </w:pPr>
          </w:p>
        </w:tc>
        <w:tc>
          <w:tcPr>
            <w:tcW w:w="1842" w:type="dxa"/>
            <w:tcBorders>
              <w:top w:val="single" w:sz="4" w:space="0" w:color="auto"/>
              <w:left w:val="single" w:sz="12" w:space="0" w:color="auto"/>
              <w:bottom w:val="single" w:sz="4" w:space="0" w:color="auto"/>
              <w:right w:val="single" w:sz="12" w:space="0" w:color="auto"/>
            </w:tcBorders>
          </w:tcPr>
          <w:p w14:paraId="190B9193" w14:textId="77777777" w:rsidR="00F8236B" w:rsidRPr="002C272D" w:rsidRDefault="00F8236B">
            <w:pPr>
              <w:pStyle w:val="Tabletext"/>
              <w:spacing w:before="120" w:after="0"/>
              <w:rPr>
                <w:rFonts w:asciiTheme="minorHAnsi" w:hAnsiTheme="minorHAnsi" w:cstheme="minorHAnsi"/>
                <w:sz w:val="24"/>
                <w:szCs w:val="24"/>
                <w:lang w:val="en-US" w:eastAsia="zh-CN"/>
              </w:rPr>
            </w:pPr>
          </w:p>
        </w:tc>
      </w:tr>
      <w:tr w:rsidR="00F8236B" w:rsidRPr="002C272D" w14:paraId="7AA515CB"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014217A6" w14:textId="77777777"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Each study group needs to have a clear mandate, avoiding overlapping with the other study groups, and providing technical experts with a proper organization and effective working method to develop specific ICT standards professionally. TSAG needs to strengthen the rationality analysis of the existing SG structure and the regular review of WTSA Resolution 2. After sufficient evaluation by TSAG and its members, if some Questions of two SGs have highly relevant is confirmed, it is recommended to make appropriate adjustments and mergers at Question level to maintain the relative stability of the Study Groups.</w:t>
            </w:r>
          </w:p>
        </w:tc>
        <w:tc>
          <w:tcPr>
            <w:tcW w:w="1842" w:type="dxa"/>
            <w:tcBorders>
              <w:top w:val="single" w:sz="4" w:space="0" w:color="auto"/>
              <w:left w:val="single" w:sz="12" w:space="0" w:color="auto"/>
              <w:bottom w:val="single" w:sz="4" w:space="0" w:color="auto"/>
              <w:right w:val="single" w:sz="12" w:space="0" w:color="auto"/>
            </w:tcBorders>
            <w:hideMark/>
          </w:tcPr>
          <w:p w14:paraId="5F91E257" w14:textId="77777777" w:rsidR="00F8236B" w:rsidRPr="002C272D" w:rsidRDefault="00F8236B">
            <w:pPr>
              <w:pStyle w:val="Tabletext"/>
              <w:spacing w:before="120" w:after="0"/>
              <w:rPr>
                <w:rFonts w:asciiTheme="minorHAnsi" w:hAnsiTheme="minorHAnsi" w:cstheme="minorHAnsi"/>
                <w:sz w:val="24"/>
                <w:szCs w:val="24"/>
                <w:lang w:val="en-US" w:eastAsia="zh-CN"/>
              </w:rPr>
            </w:pPr>
            <w:hyperlink r:id="rId20" w:history="1">
              <w:r w:rsidRPr="002C272D">
                <w:rPr>
                  <w:rStyle w:val="Hyperlink"/>
                  <w:rFonts w:asciiTheme="minorHAnsi" w:hAnsiTheme="minorHAnsi" w:cstheme="minorHAnsi"/>
                  <w:sz w:val="24"/>
                  <w:szCs w:val="24"/>
                  <w:lang w:val="en-US" w:eastAsia="zh-CN"/>
                </w:rPr>
                <w:t>C120</w:t>
              </w:r>
            </w:hyperlink>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14:paraId="657C84DB"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tcPr>
          <w:p w14:paraId="2A421185" w14:textId="77777777" w:rsidR="00F8236B" w:rsidRPr="002C272D" w:rsidRDefault="00F8236B">
            <w:pPr>
              <w:pStyle w:val="ListParagraph"/>
              <w:numPr>
                <w:ilvl w:val="0"/>
                <w:numId w:val="19"/>
              </w:numPr>
              <w:contextualSpacing/>
              <w:rPr>
                <w:rFonts w:cstheme="minorHAnsi"/>
                <w:sz w:val="24"/>
                <w:szCs w:val="24"/>
                <w:lang w:val="en-US" w:eastAsia="zh-CN"/>
              </w:rPr>
            </w:pPr>
            <w:r w:rsidRPr="002C272D">
              <w:rPr>
                <w:rFonts w:cstheme="minorHAnsi"/>
                <w:sz w:val="24"/>
                <w:szCs w:val="24"/>
                <w:lang w:val="en-US" w:eastAsia="zh-CN"/>
              </w:rPr>
              <w:t>Recognize and create a strategic approach to collaboration and improve coordination</w:t>
            </w:r>
          </w:p>
          <w:p w14:paraId="43A6F00F" w14:textId="77777777"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 xml:space="preserve">Like ISO and others, recognize and tackle proactively and strategically the overall issue of collaboration and coordination across Study Groups, both for a better industry RoI but as well for a better quality, </w:t>
            </w:r>
            <w:proofErr w:type="gramStart"/>
            <w:r w:rsidRPr="002C272D">
              <w:rPr>
                <w:rFonts w:cstheme="minorHAnsi"/>
                <w:sz w:val="24"/>
                <w:szCs w:val="24"/>
                <w:lang w:val="en-US" w:eastAsia="zh-CN"/>
              </w:rPr>
              <w:t>harmonization</w:t>
            </w:r>
            <w:proofErr w:type="gramEnd"/>
            <w:r w:rsidRPr="002C272D">
              <w:rPr>
                <w:rFonts w:cstheme="minorHAnsi"/>
                <w:sz w:val="24"/>
                <w:szCs w:val="24"/>
                <w:lang w:val="en-US" w:eastAsia="zh-CN"/>
              </w:rPr>
              <w:t xml:space="preserve"> and composability of Recommendations</w:t>
            </w:r>
          </w:p>
          <w:p w14:paraId="765459FF" w14:textId="77777777"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Attack the problem as pragmatically as the industry does as an integration of domains issue</w:t>
            </w:r>
          </w:p>
          <w:p w14:paraId="1D0D70B8" w14:textId="77777777"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 xml:space="preserve">This could be achieved by a spectrum of mechanisms in the next study period, e.g. </w:t>
            </w:r>
          </w:p>
          <w:p w14:paraId="27A9F7AC" w14:textId="77777777" w:rsidR="00F8236B" w:rsidRPr="002C272D" w:rsidRDefault="00F8236B">
            <w:pPr>
              <w:pStyle w:val="ListParagraph"/>
              <w:numPr>
                <w:ilvl w:val="2"/>
                <w:numId w:val="19"/>
              </w:numPr>
              <w:contextualSpacing/>
              <w:rPr>
                <w:rFonts w:cstheme="minorHAnsi"/>
                <w:sz w:val="24"/>
                <w:szCs w:val="24"/>
                <w:lang w:val="en-US" w:eastAsia="zh-CN"/>
              </w:rPr>
            </w:pPr>
            <w:r w:rsidRPr="002C272D">
              <w:rPr>
                <w:rFonts w:cstheme="minorHAnsi"/>
                <w:sz w:val="24"/>
                <w:szCs w:val="24"/>
                <w:lang w:val="en-US" w:eastAsia="zh-CN"/>
              </w:rPr>
              <w:t xml:space="preserve">a Correspondence Group opened to anyone under TSAG </w:t>
            </w:r>
          </w:p>
          <w:p w14:paraId="3E8F3722" w14:textId="77777777" w:rsidR="00F8236B" w:rsidRPr="002C272D" w:rsidRDefault="00F8236B">
            <w:pPr>
              <w:pStyle w:val="ListParagraph"/>
              <w:numPr>
                <w:ilvl w:val="2"/>
                <w:numId w:val="19"/>
              </w:numPr>
              <w:contextualSpacing/>
              <w:rPr>
                <w:rFonts w:cstheme="minorHAnsi"/>
                <w:sz w:val="24"/>
                <w:szCs w:val="24"/>
                <w:lang w:val="en-US" w:eastAsia="zh-CN"/>
              </w:rPr>
            </w:pPr>
            <w:r w:rsidRPr="002C272D">
              <w:rPr>
                <w:rFonts w:cstheme="minorHAnsi"/>
                <w:sz w:val="24"/>
                <w:szCs w:val="24"/>
                <w:lang w:val="en-US" w:eastAsia="zh-CN"/>
              </w:rPr>
              <w:t>a Focus Group attached to TSAG (like what ISO/IEC JTC 1 has done with its AG8, and in collaboration with it)</w:t>
            </w:r>
          </w:p>
          <w:p w14:paraId="1742EF4B" w14:textId="77777777" w:rsidR="00F8236B" w:rsidRPr="002C272D" w:rsidRDefault="00F8236B">
            <w:pPr>
              <w:pStyle w:val="ListParagraph"/>
              <w:numPr>
                <w:ilvl w:val="2"/>
                <w:numId w:val="19"/>
              </w:numPr>
              <w:contextualSpacing/>
              <w:rPr>
                <w:rFonts w:cstheme="minorHAnsi"/>
                <w:sz w:val="24"/>
                <w:szCs w:val="24"/>
                <w:lang w:val="en-US" w:eastAsia="zh-CN"/>
              </w:rPr>
            </w:pPr>
            <w:r w:rsidRPr="002C272D">
              <w:rPr>
                <w:rFonts w:cstheme="minorHAnsi"/>
                <w:sz w:val="24"/>
                <w:szCs w:val="24"/>
                <w:lang w:val="en-US" w:eastAsia="zh-CN"/>
              </w:rPr>
              <w:t>the first leading to the second</w:t>
            </w:r>
          </w:p>
          <w:p w14:paraId="7DE2BED9" w14:textId="77777777" w:rsidR="00F8236B" w:rsidRPr="002C272D" w:rsidRDefault="00F8236B">
            <w:pPr>
              <w:pStyle w:val="ListParagraph"/>
              <w:numPr>
                <w:ilvl w:val="0"/>
                <w:numId w:val="19"/>
              </w:numPr>
              <w:contextualSpacing/>
              <w:rPr>
                <w:rFonts w:cstheme="minorHAnsi"/>
                <w:sz w:val="24"/>
                <w:szCs w:val="24"/>
                <w:lang w:val="en-US" w:eastAsia="zh-CN"/>
              </w:rPr>
            </w:pPr>
            <w:r w:rsidRPr="002C272D">
              <w:rPr>
                <w:rFonts w:cstheme="minorHAnsi"/>
                <w:sz w:val="24"/>
                <w:szCs w:val="24"/>
                <w:lang w:val="en-US" w:eastAsia="zh-CN"/>
              </w:rPr>
              <w:t>On specific issues, review the ITU-T Structure in the same spirit of TSAG-C129</w:t>
            </w:r>
          </w:p>
          <w:p w14:paraId="7EC08A48" w14:textId="77777777"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lastRenderedPageBreak/>
              <w:t xml:space="preserve">Regroup all Quantum activities in one working party in </w:t>
            </w:r>
            <w:r w:rsidRPr="002C272D">
              <w:rPr>
                <w:rFonts w:cstheme="minorHAnsi"/>
                <w:sz w:val="24"/>
                <w:szCs w:val="24"/>
                <w:u w:val="single"/>
                <w:lang w:val="en-US" w:eastAsia="zh-CN"/>
              </w:rPr>
              <w:t>one</w:t>
            </w:r>
            <w:r w:rsidRPr="002C272D">
              <w:rPr>
                <w:rFonts w:cstheme="minorHAnsi"/>
                <w:sz w:val="24"/>
                <w:szCs w:val="24"/>
                <w:lang w:val="en-US" w:eastAsia="zh-CN"/>
              </w:rPr>
              <w:t xml:space="preserve"> SG and whilst there is no ideal candidate, propose to consider the following SGs in this order of priority: SG17, SG15, SG13</w:t>
            </w:r>
          </w:p>
          <w:p w14:paraId="3B85EB4F" w14:textId="77777777"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 xml:space="preserve">Consider similar granularity in the structure for topics such as DLT, AI, etc. to better “align” ITU-T to the granularity of other SDOs and concentrate the resources. </w:t>
            </w:r>
          </w:p>
          <w:p w14:paraId="1BA118FB" w14:textId="77777777"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Keep SG17 and move some other security Questions addressed in other SGs to SG17 aligned with SG17 LS/I to TSAG on the topic TSAG-TD896.</w:t>
            </w:r>
          </w:p>
          <w:p w14:paraId="0E482283" w14:textId="77777777"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Keep SG15 as it is.</w:t>
            </w:r>
          </w:p>
          <w:p w14:paraId="0060C074" w14:textId="77777777" w:rsidR="00F8236B" w:rsidRPr="002C272D" w:rsidRDefault="00F8236B">
            <w:pPr>
              <w:pStyle w:val="ListParagraph"/>
              <w:numPr>
                <w:ilvl w:val="0"/>
                <w:numId w:val="19"/>
              </w:numPr>
              <w:spacing w:before="120" w:after="120"/>
              <w:rPr>
                <w:rFonts w:cstheme="minorHAnsi"/>
                <w:sz w:val="24"/>
                <w:szCs w:val="24"/>
                <w:lang w:val="en-US" w:eastAsia="en-US"/>
              </w:rPr>
            </w:pPr>
          </w:p>
        </w:tc>
        <w:tc>
          <w:tcPr>
            <w:tcW w:w="1842" w:type="dxa"/>
            <w:tcBorders>
              <w:top w:val="single" w:sz="4" w:space="0" w:color="auto"/>
              <w:left w:val="single" w:sz="12" w:space="0" w:color="auto"/>
              <w:bottom w:val="single" w:sz="4" w:space="0" w:color="auto"/>
              <w:right w:val="single" w:sz="12" w:space="0" w:color="auto"/>
            </w:tcBorders>
            <w:hideMark/>
          </w:tcPr>
          <w:p w14:paraId="1AC3D2D9" w14:textId="77777777" w:rsidR="00F8236B" w:rsidRPr="002C272D" w:rsidRDefault="00F8236B">
            <w:pPr>
              <w:pStyle w:val="Tabletext"/>
              <w:spacing w:before="120" w:after="0"/>
              <w:rPr>
                <w:rFonts w:asciiTheme="minorHAnsi" w:hAnsiTheme="minorHAnsi" w:cstheme="minorHAnsi"/>
                <w:sz w:val="24"/>
                <w:szCs w:val="24"/>
                <w:lang w:val="en-US" w:eastAsia="zh-CN"/>
              </w:rPr>
            </w:pPr>
            <w:hyperlink r:id="rId21" w:history="1">
              <w:r w:rsidRPr="002C272D">
                <w:rPr>
                  <w:rStyle w:val="Hyperlink"/>
                  <w:rFonts w:asciiTheme="minorHAnsi" w:hAnsiTheme="minorHAnsi" w:cstheme="minorHAnsi"/>
                  <w:sz w:val="24"/>
                  <w:szCs w:val="24"/>
                  <w:lang w:val="en-US" w:eastAsia="zh-CN"/>
                </w:rPr>
                <w:t>C155</w:t>
              </w:r>
            </w:hyperlink>
            <w:r w:rsidRPr="002C272D">
              <w:rPr>
                <w:rStyle w:val="Hyperlink"/>
                <w:rFonts w:asciiTheme="minorHAnsi" w:hAnsiTheme="minorHAnsi" w:cstheme="minorHAnsi"/>
                <w:sz w:val="24"/>
                <w:szCs w:val="24"/>
                <w:lang w:val="en-US" w:eastAsia="zh-CN"/>
              </w:rPr>
              <w:t xml:space="preserve"> </w:t>
            </w:r>
            <w:r w:rsidRPr="002C272D">
              <w:rPr>
                <w:rStyle w:val="Hyperlink"/>
                <w:rFonts w:asciiTheme="minorHAnsi" w:hAnsiTheme="minorHAnsi" w:cstheme="minorHAnsi"/>
                <w:sz w:val="24"/>
                <w:szCs w:val="24"/>
                <w:lang w:val="en-US"/>
              </w:rPr>
              <w:t>(Broadcom)</w:t>
            </w:r>
          </w:p>
        </w:tc>
      </w:tr>
      <w:tr w:rsidR="00F8236B" w:rsidRPr="002C272D" w14:paraId="5778911E"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7501AC5B" w14:textId="77777777" w:rsidR="00F8236B" w:rsidRPr="002C272D" w:rsidRDefault="00F8236B">
            <w:pPr>
              <w:pStyle w:val="ListParagraph"/>
              <w:numPr>
                <w:ilvl w:val="0"/>
                <w:numId w:val="19"/>
              </w:numPr>
              <w:spacing w:before="120" w:after="120"/>
              <w:ind w:left="357" w:hanging="357"/>
              <w:rPr>
                <w:rFonts w:cstheme="minorHAnsi"/>
                <w:sz w:val="24"/>
                <w:szCs w:val="24"/>
                <w:lang w:val="en-US" w:eastAsia="en-US"/>
              </w:rPr>
            </w:pPr>
            <w:r w:rsidRPr="002C272D">
              <w:rPr>
                <w:rFonts w:cstheme="minorHAnsi"/>
                <w:sz w:val="24"/>
                <w:szCs w:val="24"/>
                <w:lang w:val="en-US" w:eastAsia="zh-CN"/>
              </w:rPr>
              <w:t>Identifying overlaps on scope and mandates of the current SGs.</w:t>
            </w:r>
          </w:p>
        </w:tc>
        <w:tc>
          <w:tcPr>
            <w:tcW w:w="1842" w:type="dxa"/>
            <w:tcBorders>
              <w:top w:val="single" w:sz="4" w:space="0" w:color="auto"/>
              <w:left w:val="single" w:sz="12" w:space="0" w:color="auto"/>
              <w:bottom w:val="single" w:sz="4" w:space="0" w:color="auto"/>
              <w:right w:val="single" w:sz="12" w:space="0" w:color="auto"/>
            </w:tcBorders>
            <w:hideMark/>
          </w:tcPr>
          <w:p w14:paraId="5C3E275A" w14:textId="77777777" w:rsidR="00F8236B" w:rsidRPr="002C272D" w:rsidRDefault="00F8236B">
            <w:pPr>
              <w:pStyle w:val="Tabletext"/>
              <w:spacing w:before="120" w:after="0"/>
              <w:rPr>
                <w:rFonts w:asciiTheme="minorHAnsi" w:hAnsiTheme="minorHAnsi" w:cstheme="minorHAnsi"/>
                <w:sz w:val="24"/>
                <w:szCs w:val="24"/>
                <w:lang w:val="en-US" w:eastAsia="zh-CN"/>
              </w:rPr>
            </w:pPr>
            <w:hyperlink r:id="rId22" w:history="1">
              <w:r w:rsidRPr="002C272D">
                <w:rPr>
                  <w:rStyle w:val="Hyperlink"/>
                  <w:rFonts w:asciiTheme="minorHAnsi" w:hAnsiTheme="minorHAnsi" w:cstheme="minorHAnsi"/>
                  <w:sz w:val="24"/>
                  <w:szCs w:val="24"/>
                  <w:lang w:val="en-US" w:eastAsia="zh-CN"/>
                </w:rPr>
                <w:t>C134</w:t>
              </w:r>
            </w:hyperlink>
            <w:r w:rsidRPr="002C272D">
              <w:rPr>
                <w:rStyle w:val="Hyperlink"/>
                <w:rFonts w:asciiTheme="minorHAnsi" w:hAnsiTheme="minorHAnsi" w:cstheme="minorHAnsi"/>
                <w:sz w:val="24"/>
                <w:szCs w:val="24"/>
                <w:lang w:val="en-US" w:eastAsia="zh-CN"/>
              </w:rPr>
              <w:t xml:space="preserve"> (India)</w:t>
            </w:r>
          </w:p>
        </w:tc>
      </w:tr>
      <w:tr w:rsidR="00F8236B" w:rsidRPr="002C272D" w14:paraId="0EA6F574"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47641B8B" w14:textId="77777777" w:rsidR="00F8236B" w:rsidRPr="002C272D" w:rsidRDefault="00F8236B">
            <w:pPr>
              <w:pStyle w:val="ListParagraph"/>
              <w:numPr>
                <w:ilvl w:val="0"/>
                <w:numId w:val="19"/>
              </w:numPr>
              <w:spacing w:before="120" w:after="120"/>
              <w:ind w:left="357" w:hanging="357"/>
              <w:rPr>
                <w:rFonts w:cstheme="minorHAnsi"/>
                <w:sz w:val="24"/>
                <w:szCs w:val="24"/>
                <w:lang w:val="en-US" w:eastAsia="zh-CN"/>
              </w:rPr>
            </w:pPr>
            <w:bookmarkStart w:id="5" w:name="_Hlk51517245"/>
            <w:r w:rsidRPr="002C272D">
              <w:rPr>
                <w:rFonts w:cstheme="minorHAnsi"/>
                <w:sz w:val="24"/>
                <w:szCs w:val="24"/>
                <w:lang w:val="en-US" w:eastAsia="zh-CN"/>
              </w:rPr>
              <w:t>Care should be taken to avoid duplication of standardization work between ITU-T study groups, and other ITU sectors, as well as with other global standards development organisations (SDOs). Instead, the development of standards in the ITU-T should ensure maximum coordination and harmonisation with other SDOs in the development of international standards. This requires all ITU-T study groups undertake a detailed gap analyses for proposed new work, and where duplication of work is identified, a dialogue and coordination process should be specified and used to resolve the issue. Communication between the ITU and other SDOs should occur to ensure that duplication does not happen on a global scale that could lead to conflicting requirements.</w:t>
            </w:r>
            <w:bookmarkEnd w:id="5"/>
          </w:p>
        </w:tc>
        <w:tc>
          <w:tcPr>
            <w:tcW w:w="1842" w:type="dxa"/>
            <w:tcBorders>
              <w:top w:val="single" w:sz="4" w:space="0" w:color="auto"/>
              <w:left w:val="single" w:sz="12" w:space="0" w:color="auto"/>
              <w:bottom w:val="single" w:sz="4" w:space="0" w:color="auto"/>
              <w:right w:val="single" w:sz="12" w:space="0" w:color="auto"/>
            </w:tcBorders>
            <w:hideMark/>
          </w:tcPr>
          <w:p w14:paraId="66816FB2" w14:textId="77777777" w:rsidR="00F8236B" w:rsidRPr="002C272D" w:rsidRDefault="00F8236B">
            <w:pPr>
              <w:pStyle w:val="Tabletext"/>
              <w:spacing w:before="120" w:after="0"/>
              <w:rPr>
                <w:rFonts w:asciiTheme="minorHAnsi" w:hAnsiTheme="minorHAnsi" w:cstheme="minorHAnsi"/>
                <w:sz w:val="24"/>
                <w:szCs w:val="24"/>
                <w:lang w:val="en-US"/>
              </w:rPr>
            </w:pPr>
            <w:r w:rsidRPr="002C272D">
              <w:rPr>
                <w:rFonts w:asciiTheme="minorHAnsi" w:hAnsiTheme="minorHAnsi" w:cstheme="minorHAnsi"/>
                <w:sz w:val="24"/>
                <w:szCs w:val="24"/>
                <w:lang w:val="en-US"/>
              </w:rPr>
              <w:t>C157 (Finland, France, Germany, Sweden, The Netherlands, and United Kingdom)</w:t>
            </w:r>
          </w:p>
        </w:tc>
      </w:tr>
      <w:tr w:rsidR="00F8236B" w:rsidRPr="002C272D" w14:paraId="690894B9"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36232B4C" w14:textId="77777777"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B-1) Each Study Group should have the responsibility to develop a clear mandate with leading study group roles, avoiding overlapping with the other study groups. </w:t>
            </w:r>
          </w:p>
          <w:p w14:paraId="7E40D95F" w14:textId="77777777"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B-2) TSB and TSAG should strengthen the rationality analysis of each SG’s mandates by completely review of WTSA Resolution 2. After sufficient evaluation, if it’s confirmed that some Questions of two SGs </w:t>
            </w:r>
            <w:proofErr w:type="gramStart"/>
            <w:r w:rsidRPr="002C272D">
              <w:rPr>
                <w:rFonts w:cstheme="minorHAnsi"/>
                <w:sz w:val="24"/>
                <w:szCs w:val="24"/>
                <w:lang w:val="en-US" w:eastAsia="zh-CN"/>
              </w:rPr>
              <w:t>have highly</w:t>
            </w:r>
            <w:proofErr w:type="gramEnd"/>
            <w:r w:rsidRPr="002C272D">
              <w:rPr>
                <w:rFonts w:cstheme="minorHAnsi"/>
                <w:sz w:val="24"/>
                <w:szCs w:val="24"/>
                <w:lang w:val="en-US" w:eastAsia="zh-CN"/>
              </w:rPr>
              <w:t xml:space="preserve"> similarity in the specific topic, it is recommended to make appropriate adjustment or merge them at Question level by the collaboration of related Study Groups.</w:t>
            </w:r>
          </w:p>
        </w:tc>
        <w:tc>
          <w:tcPr>
            <w:tcW w:w="1842" w:type="dxa"/>
            <w:tcBorders>
              <w:top w:val="single" w:sz="4" w:space="0" w:color="auto"/>
              <w:left w:val="single" w:sz="12" w:space="0" w:color="auto"/>
              <w:bottom w:val="single" w:sz="4" w:space="0" w:color="auto"/>
              <w:right w:val="single" w:sz="12" w:space="0" w:color="auto"/>
            </w:tcBorders>
            <w:hideMark/>
          </w:tcPr>
          <w:p w14:paraId="18E01EC1" w14:textId="77777777" w:rsidR="00F8236B" w:rsidRPr="002C272D" w:rsidRDefault="00F8236B">
            <w:pPr>
              <w:pStyle w:val="Tabletext"/>
              <w:spacing w:before="120" w:after="0"/>
              <w:rPr>
                <w:rFonts w:asciiTheme="minorHAnsi" w:hAnsiTheme="minorHAnsi" w:cstheme="minorHAnsi"/>
                <w:sz w:val="24"/>
                <w:szCs w:val="24"/>
                <w:lang w:val="en-US"/>
              </w:rPr>
            </w:pPr>
            <w:hyperlink r:id="rId23" w:history="1">
              <w:r w:rsidRPr="002C272D">
                <w:rPr>
                  <w:rStyle w:val="Hyperlink"/>
                  <w:rFonts w:asciiTheme="minorHAnsi" w:hAnsiTheme="minorHAnsi" w:cstheme="minorHAnsi"/>
                  <w:sz w:val="24"/>
                  <w:szCs w:val="24"/>
                  <w:lang w:val="en-US"/>
                </w:rPr>
                <w:t>RGWP-C4</w:t>
              </w:r>
            </w:hyperlink>
            <w:r w:rsidRPr="002C272D">
              <w:rPr>
                <w:rStyle w:val="Hyperlink"/>
                <w:rFonts w:asciiTheme="minorHAnsi" w:hAnsiTheme="minorHAnsi" w:cstheme="minorHAnsi"/>
                <w:sz w:val="24"/>
                <w:szCs w:val="24"/>
                <w:lang w:val="en-US"/>
              </w:rPr>
              <w:t xml:space="preserve"> (MIIT, China)</w:t>
            </w:r>
          </w:p>
        </w:tc>
      </w:tr>
      <w:tr w:rsidR="00F8236B" w:rsidRPr="002C272D" w14:paraId="2F531083"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093E6968" w14:textId="77777777"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B-1) Each Study Group should have the responsibility to develop a clear mandate with leading Study Group roles, avoiding overlap with the other Study Groups. </w:t>
            </w:r>
          </w:p>
          <w:p w14:paraId="3A5E7959" w14:textId="77777777"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B-2) TSB and TSAG should strengthen the analysis of each Study Group’s mandates by comprehensive review of WTSA Resolution 2, and make appropriate adjustment based on the collaboration of related Study Groups. </w:t>
            </w:r>
          </w:p>
        </w:tc>
        <w:tc>
          <w:tcPr>
            <w:tcW w:w="1842" w:type="dxa"/>
            <w:tcBorders>
              <w:top w:val="single" w:sz="4" w:space="0" w:color="auto"/>
              <w:left w:val="single" w:sz="12" w:space="0" w:color="auto"/>
              <w:bottom w:val="single" w:sz="4" w:space="0" w:color="auto"/>
              <w:right w:val="single" w:sz="12" w:space="0" w:color="auto"/>
            </w:tcBorders>
            <w:hideMark/>
          </w:tcPr>
          <w:p w14:paraId="55621882" w14:textId="77777777" w:rsidR="00F8236B" w:rsidRPr="002C272D" w:rsidRDefault="00F8236B">
            <w:pPr>
              <w:pStyle w:val="Tabletext"/>
              <w:spacing w:before="120" w:after="0"/>
              <w:rPr>
                <w:rFonts w:asciiTheme="minorHAnsi" w:hAnsiTheme="minorHAnsi" w:cstheme="minorHAnsi"/>
                <w:sz w:val="24"/>
                <w:szCs w:val="24"/>
                <w:lang w:val="en-US"/>
              </w:rPr>
            </w:pPr>
            <w:hyperlink r:id="rId24" w:history="1">
              <w:r w:rsidRPr="002C272D">
                <w:rPr>
                  <w:rStyle w:val="Hyperlink"/>
                  <w:rFonts w:asciiTheme="minorHAnsi" w:hAnsiTheme="minorHAnsi" w:cstheme="minorHAnsi"/>
                  <w:sz w:val="24"/>
                  <w:szCs w:val="24"/>
                  <w:lang w:val="en-US"/>
                </w:rPr>
                <w:t>RGWP-C2(201208)</w:t>
              </w:r>
            </w:hyperlink>
            <w:r w:rsidRPr="002C272D">
              <w:rPr>
                <w:rFonts w:asciiTheme="minorHAnsi" w:hAnsiTheme="minorHAnsi" w:cstheme="minorHAnsi"/>
                <w:sz w:val="24"/>
                <w:szCs w:val="24"/>
                <w:lang w:val="en-US"/>
              </w:rPr>
              <w:t>(APT)</w:t>
            </w:r>
          </w:p>
        </w:tc>
      </w:tr>
      <w:tr w:rsidR="00F8236B" w:rsidRPr="002C272D" w14:paraId="4DBB2E42" w14:textId="77777777"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14:paraId="20AD50E7" w14:textId="77777777" w:rsidR="00F8236B" w:rsidRPr="002C272D" w:rsidRDefault="00F8236B">
            <w:pPr>
              <w:pStyle w:val="Tabletext"/>
              <w:spacing w:before="120" w:after="120"/>
              <w:rPr>
                <w:rFonts w:asciiTheme="minorHAnsi" w:hAnsiTheme="minorHAnsi" w:cstheme="minorHAnsi"/>
                <w:b/>
                <w:sz w:val="24"/>
                <w:szCs w:val="24"/>
                <w:lang w:val="en-US"/>
              </w:rPr>
            </w:pPr>
            <w:r w:rsidRPr="002C272D">
              <w:rPr>
                <w:rFonts w:asciiTheme="minorHAnsi" w:hAnsiTheme="minorHAnsi" w:cstheme="minorHAnsi"/>
                <w:b/>
                <w:sz w:val="24"/>
                <w:szCs w:val="24"/>
                <w:lang w:val="en-US"/>
              </w:rPr>
              <w:t>C: Enhanced coordination and cooperation</w:t>
            </w:r>
          </w:p>
        </w:tc>
        <w:tc>
          <w:tcPr>
            <w:tcW w:w="1842" w:type="dxa"/>
            <w:tcBorders>
              <w:top w:val="single" w:sz="4" w:space="0" w:color="auto"/>
              <w:left w:val="single" w:sz="12" w:space="0" w:color="auto"/>
              <w:bottom w:val="single" w:sz="4" w:space="0" w:color="auto"/>
              <w:right w:val="single" w:sz="12" w:space="0" w:color="auto"/>
            </w:tcBorders>
            <w:vAlign w:val="center"/>
            <w:hideMark/>
          </w:tcPr>
          <w:p w14:paraId="34056331" w14:textId="77777777"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14:paraId="391CA603"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20EA838E" w14:textId="77777777" w:rsidR="00F8236B" w:rsidRPr="002C272D" w:rsidRDefault="00F8236B">
            <w:pPr>
              <w:pStyle w:val="ListParagraph"/>
              <w:widowControl w:val="0"/>
              <w:numPr>
                <w:ilvl w:val="0"/>
                <w:numId w:val="20"/>
              </w:numPr>
              <w:autoSpaceDE w:val="0"/>
              <w:autoSpaceDN w:val="0"/>
              <w:adjustRightInd w:val="0"/>
              <w:spacing w:before="120" w:after="120"/>
              <w:rPr>
                <w:rFonts w:cstheme="minorHAnsi"/>
                <w:sz w:val="24"/>
                <w:szCs w:val="24"/>
                <w:lang w:val="en-US" w:eastAsia="zh-CN"/>
              </w:rPr>
            </w:pPr>
            <w:r w:rsidRPr="002C272D">
              <w:rPr>
                <w:rFonts w:cstheme="minorHAnsi"/>
                <w:sz w:val="24"/>
                <w:szCs w:val="24"/>
                <w:lang w:val="en-US" w:eastAsia="zh-CN"/>
              </w:rPr>
              <w:lastRenderedPageBreak/>
              <w:t>Maintain the cooperation between ITU-T and ISO/IEC JTC1 (MPEG) to ensure that VVC as the next generation video codec standard is completed on time and promote industrial adoption to strengthen SG16’s multimedia technical foundation. SG16 can be tasked with more forward-looking multimedia technologies study beyond VVC which may be well timed to work with communications technologies beyond 5G for the years beginning roughly in 2030.</w:t>
            </w:r>
          </w:p>
        </w:tc>
        <w:tc>
          <w:tcPr>
            <w:tcW w:w="1842" w:type="dxa"/>
            <w:tcBorders>
              <w:top w:val="single" w:sz="4" w:space="0" w:color="auto"/>
              <w:left w:val="single" w:sz="12" w:space="0" w:color="auto"/>
              <w:bottom w:val="single" w:sz="4" w:space="0" w:color="auto"/>
              <w:right w:val="single" w:sz="12" w:space="0" w:color="auto"/>
            </w:tcBorders>
            <w:hideMark/>
          </w:tcPr>
          <w:p w14:paraId="5FC58F70" w14:textId="77777777" w:rsidR="00F8236B" w:rsidRPr="002C272D" w:rsidRDefault="00F8236B">
            <w:pPr>
              <w:pStyle w:val="Tabletext"/>
              <w:keepNext/>
              <w:spacing w:before="120" w:after="120"/>
              <w:rPr>
                <w:rFonts w:asciiTheme="minorHAnsi" w:hAnsiTheme="minorHAnsi" w:cstheme="minorHAnsi"/>
                <w:sz w:val="24"/>
                <w:szCs w:val="24"/>
                <w:lang w:val="en-US"/>
              </w:rPr>
            </w:pPr>
            <w:hyperlink r:id="rId25" w:history="1">
              <w:r w:rsidRPr="002C272D">
                <w:rPr>
                  <w:rStyle w:val="Hyperlink"/>
                  <w:rFonts w:asciiTheme="minorHAnsi" w:hAnsiTheme="minorHAnsi" w:cstheme="minorHAnsi"/>
                  <w:sz w:val="24"/>
                  <w:szCs w:val="24"/>
                  <w:lang w:val="en-US" w:eastAsia="zh-CN"/>
                </w:rPr>
                <w:t>C105</w:t>
              </w:r>
            </w:hyperlink>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14:paraId="30678BD9"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1B199144" w14:textId="77777777"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In the emerging ICT areas that promote the implementation of the United Nations Sustainable Development Goals (SDGs) and facilitate the development of the global ICT standardization ecosystem, ITU-T needs to strengthen the cooperation with other standardization organizations, bridge the standardization gap, enhance the standardization influence, promote the prosperity and development of human society through ICT technologies and services.</w:t>
            </w:r>
          </w:p>
        </w:tc>
        <w:tc>
          <w:tcPr>
            <w:tcW w:w="1842" w:type="dxa"/>
            <w:tcBorders>
              <w:top w:val="single" w:sz="4" w:space="0" w:color="auto"/>
              <w:left w:val="single" w:sz="12" w:space="0" w:color="auto"/>
              <w:bottom w:val="single" w:sz="4" w:space="0" w:color="auto"/>
              <w:right w:val="single" w:sz="12" w:space="0" w:color="auto"/>
            </w:tcBorders>
            <w:hideMark/>
          </w:tcPr>
          <w:p w14:paraId="3EE69ED1" w14:textId="77777777" w:rsidR="00F8236B" w:rsidRPr="002C272D" w:rsidRDefault="00F8236B">
            <w:pPr>
              <w:pStyle w:val="Tabletext"/>
              <w:keepNext/>
              <w:spacing w:before="120" w:after="120"/>
              <w:rPr>
                <w:rFonts w:asciiTheme="minorHAnsi" w:hAnsiTheme="minorHAnsi" w:cstheme="minorHAnsi"/>
                <w:sz w:val="24"/>
                <w:szCs w:val="24"/>
                <w:lang w:val="en-US" w:eastAsia="zh-CN"/>
              </w:rPr>
            </w:pPr>
            <w:hyperlink r:id="rId26" w:history="1">
              <w:r w:rsidRPr="002C272D">
                <w:rPr>
                  <w:rStyle w:val="Hyperlink"/>
                  <w:rFonts w:asciiTheme="minorHAnsi" w:hAnsiTheme="minorHAnsi" w:cstheme="minorHAnsi"/>
                  <w:sz w:val="24"/>
                  <w:szCs w:val="24"/>
                  <w:lang w:val="en-US" w:eastAsia="zh-CN"/>
                </w:rPr>
                <w:t>C120</w:t>
              </w:r>
            </w:hyperlink>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14:paraId="0213746A"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0F6CC818" w14:textId="77777777"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Care should be taken to avoid duplication of standardization work between ITU-T study groups, and other ITU sectors, as well as with other global standards development organisations (SDOs). Instead, the development of standards in the ITU-T should ensure maximum coordination and harmonisation with other SDOs in the development of international standards. This requires all ITU-T study groups undertake a detailed gap analyses for proposed new work, and where duplication of work is identified, a dialogue and coordination process should be specified and used to resolve the issue. Communication between the ITU and other SDOs should occur to ensure that duplication does not happen on a global scale that could lead to conflicting requirements.</w:t>
            </w:r>
          </w:p>
        </w:tc>
        <w:tc>
          <w:tcPr>
            <w:tcW w:w="1842" w:type="dxa"/>
            <w:tcBorders>
              <w:top w:val="single" w:sz="4" w:space="0" w:color="auto"/>
              <w:left w:val="single" w:sz="12" w:space="0" w:color="auto"/>
              <w:bottom w:val="single" w:sz="4" w:space="0" w:color="auto"/>
              <w:right w:val="single" w:sz="12" w:space="0" w:color="auto"/>
            </w:tcBorders>
            <w:hideMark/>
          </w:tcPr>
          <w:p w14:paraId="5B450667" w14:textId="77777777" w:rsidR="00F8236B" w:rsidRPr="002C272D" w:rsidRDefault="00F8236B">
            <w:pPr>
              <w:pStyle w:val="Tabletext"/>
              <w:keepNext/>
              <w:spacing w:before="120" w:after="120"/>
              <w:rPr>
                <w:rFonts w:asciiTheme="minorHAnsi" w:hAnsiTheme="minorHAnsi" w:cstheme="minorHAnsi"/>
                <w:sz w:val="24"/>
                <w:szCs w:val="24"/>
                <w:lang w:val="en-US"/>
              </w:rPr>
            </w:pPr>
            <w:hyperlink r:id="rId27" w:history="1">
              <w:r w:rsidRPr="002C272D">
                <w:rPr>
                  <w:rStyle w:val="Hyperlink"/>
                  <w:rFonts w:asciiTheme="minorHAnsi" w:hAnsiTheme="minorHAnsi" w:cstheme="minorHAnsi"/>
                  <w:sz w:val="24"/>
                  <w:szCs w:val="24"/>
                  <w:lang w:val="en-US"/>
                </w:rPr>
                <w:t>RGWP-C3</w:t>
              </w:r>
            </w:hyperlink>
            <w:r w:rsidRPr="002C272D">
              <w:rPr>
                <w:rStyle w:val="Hyperlink"/>
                <w:rFonts w:asciiTheme="minorHAnsi" w:hAnsiTheme="minorHAnsi" w:cstheme="minorHAnsi"/>
                <w:sz w:val="24"/>
                <w:szCs w:val="24"/>
                <w:lang w:val="en-US"/>
              </w:rPr>
              <w:t>R1 (UK)</w:t>
            </w:r>
          </w:p>
        </w:tc>
      </w:tr>
      <w:tr w:rsidR="00F8236B" w:rsidRPr="002C272D" w14:paraId="6806B9DB"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3F65B590" w14:textId="77777777"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 xml:space="preserve">C-1) In the emerging ICT areas that promote the implementation of the United Nations Sustainable Development Goals (SDGs) and facilitate the development of the global ICT standardization ecosystem, ITU-T needs to strengthen the cooperation between SGs </w:t>
            </w:r>
            <w:proofErr w:type="gramStart"/>
            <w:r w:rsidRPr="002C272D">
              <w:rPr>
                <w:rFonts w:cstheme="minorHAnsi"/>
                <w:sz w:val="24"/>
                <w:szCs w:val="24"/>
                <w:lang w:val="en-US" w:eastAsia="zh-CN"/>
              </w:rPr>
              <w:t>and also</w:t>
            </w:r>
            <w:proofErr w:type="gramEnd"/>
            <w:r w:rsidRPr="002C272D">
              <w:rPr>
                <w:rFonts w:cstheme="minorHAnsi"/>
                <w:sz w:val="24"/>
                <w:szCs w:val="24"/>
                <w:lang w:val="en-US" w:eastAsia="zh-CN"/>
              </w:rPr>
              <w:t xml:space="preserve"> with other standardization organizations, in order to bridge the standardization gap, enhance the standardization influence, promote the prosperity and development of human society through ICT technologies and services.</w:t>
            </w:r>
          </w:p>
          <w:p w14:paraId="3BF331DA" w14:textId="77777777"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 xml:space="preserve">C-2) Enhancing the coordination and cooperation between ITU-T SG and other international, regional and national SDO through JCA </w:t>
            </w:r>
            <w:proofErr w:type="gramStart"/>
            <w:r w:rsidRPr="002C272D">
              <w:rPr>
                <w:rFonts w:cstheme="minorHAnsi"/>
                <w:sz w:val="24"/>
                <w:szCs w:val="24"/>
                <w:lang w:val="en-US" w:eastAsia="zh-CN"/>
              </w:rPr>
              <w:t>and  other</w:t>
            </w:r>
            <w:proofErr w:type="gramEnd"/>
            <w:r w:rsidRPr="002C272D">
              <w:rPr>
                <w:rFonts w:cstheme="minorHAnsi"/>
                <w:sz w:val="24"/>
                <w:szCs w:val="24"/>
                <w:lang w:val="en-US" w:eastAsia="zh-CN"/>
              </w:rPr>
              <w:t xml:space="preserve"> activities to develop a standard roadmap in addressing future standardization directions and establish a more effective and robust international ecosystem for ICT standardization.</w:t>
            </w:r>
          </w:p>
        </w:tc>
        <w:tc>
          <w:tcPr>
            <w:tcW w:w="1842" w:type="dxa"/>
            <w:tcBorders>
              <w:top w:val="single" w:sz="4" w:space="0" w:color="auto"/>
              <w:left w:val="single" w:sz="12" w:space="0" w:color="auto"/>
              <w:bottom w:val="single" w:sz="4" w:space="0" w:color="auto"/>
              <w:right w:val="single" w:sz="12" w:space="0" w:color="auto"/>
            </w:tcBorders>
            <w:hideMark/>
          </w:tcPr>
          <w:p w14:paraId="7BCC4F2F" w14:textId="77777777" w:rsidR="00F8236B" w:rsidRPr="002C272D" w:rsidRDefault="00F8236B">
            <w:pPr>
              <w:pStyle w:val="Tabletext"/>
              <w:keepNext/>
              <w:spacing w:before="120" w:after="120"/>
              <w:rPr>
                <w:rFonts w:asciiTheme="minorHAnsi" w:hAnsiTheme="minorHAnsi" w:cstheme="minorHAnsi"/>
                <w:sz w:val="24"/>
                <w:szCs w:val="24"/>
                <w:lang w:val="en-US"/>
              </w:rPr>
            </w:pPr>
            <w:hyperlink r:id="rId28" w:history="1">
              <w:r w:rsidRPr="002C272D">
                <w:rPr>
                  <w:rStyle w:val="Hyperlink"/>
                  <w:rFonts w:asciiTheme="minorHAnsi" w:hAnsiTheme="minorHAnsi" w:cstheme="minorHAnsi"/>
                  <w:sz w:val="24"/>
                  <w:szCs w:val="24"/>
                  <w:lang w:val="en-US"/>
                </w:rPr>
                <w:t>RGWP-C4</w:t>
              </w:r>
            </w:hyperlink>
            <w:r w:rsidRPr="002C272D">
              <w:rPr>
                <w:rStyle w:val="Hyperlink"/>
                <w:rFonts w:asciiTheme="minorHAnsi" w:hAnsiTheme="minorHAnsi" w:cstheme="minorHAnsi"/>
                <w:sz w:val="24"/>
                <w:szCs w:val="24"/>
                <w:lang w:val="en-US"/>
              </w:rPr>
              <w:t xml:space="preserve"> (MIIT, China)</w:t>
            </w:r>
          </w:p>
        </w:tc>
      </w:tr>
      <w:tr w:rsidR="00F8236B" w:rsidRPr="002C272D" w14:paraId="51B294F7"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6514E318" w14:textId="77777777"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 xml:space="preserve">C-1) In emerging ICT areas that promote the United Nations Sustainable Development Goals (SDGs) and to facilitate the development of the global ICT standardization ecosystem, ITU-T should look to strengthen the cooperation between Study Groups </w:t>
            </w:r>
            <w:proofErr w:type="gramStart"/>
            <w:r w:rsidRPr="002C272D">
              <w:rPr>
                <w:rFonts w:cstheme="minorHAnsi"/>
                <w:sz w:val="24"/>
                <w:szCs w:val="24"/>
                <w:lang w:val="en-US" w:eastAsia="zh-CN"/>
              </w:rPr>
              <w:t>and also</w:t>
            </w:r>
            <w:proofErr w:type="gramEnd"/>
            <w:r w:rsidRPr="002C272D">
              <w:rPr>
                <w:rFonts w:cstheme="minorHAnsi"/>
                <w:sz w:val="24"/>
                <w:szCs w:val="24"/>
                <w:lang w:val="en-US" w:eastAsia="zh-CN"/>
              </w:rPr>
              <w:t xml:space="preserve"> with other standardization organizations, in order to bridge </w:t>
            </w:r>
            <w:r w:rsidRPr="002C272D">
              <w:rPr>
                <w:rFonts w:cstheme="minorHAnsi"/>
                <w:sz w:val="24"/>
                <w:szCs w:val="24"/>
                <w:lang w:val="en-US" w:eastAsia="zh-CN"/>
              </w:rPr>
              <w:lastRenderedPageBreak/>
              <w:t>the standardization gap, enhance the standardization influence, promote the prosperity and society through ICT technologies and services.</w:t>
            </w:r>
          </w:p>
          <w:p w14:paraId="6D58F611" w14:textId="77777777"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 xml:space="preserve">C-2) Enhance the coordination and cooperation between ITU-T Study Groups and other international, </w:t>
            </w:r>
            <w:proofErr w:type="gramStart"/>
            <w:r w:rsidRPr="002C272D">
              <w:rPr>
                <w:rFonts w:cstheme="minorHAnsi"/>
                <w:sz w:val="24"/>
                <w:szCs w:val="24"/>
                <w:lang w:val="en-US" w:eastAsia="zh-CN"/>
              </w:rPr>
              <w:t>regional</w:t>
            </w:r>
            <w:proofErr w:type="gramEnd"/>
            <w:r w:rsidRPr="002C272D">
              <w:rPr>
                <w:rFonts w:cstheme="minorHAnsi"/>
                <w:sz w:val="24"/>
                <w:szCs w:val="24"/>
                <w:lang w:val="en-US" w:eastAsia="zh-CN"/>
              </w:rPr>
              <w:t xml:space="preserve"> and national SDOs through arrangements such as a JCA and other appropriate activities on common interested ICT topics, sharing standardization progress, and establish more effective and robust international collaboration between ITU-T Study Groups with other SDOs for Global ICT standardization.</w:t>
            </w:r>
          </w:p>
        </w:tc>
        <w:tc>
          <w:tcPr>
            <w:tcW w:w="1842" w:type="dxa"/>
            <w:tcBorders>
              <w:top w:val="single" w:sz="4" w:space="0" w:color="auto"/>
              <w:left w:val="single" w:sz="12" w:space="0" w:color="auto"/>
              <w:bottom w:val="single" w:sz="4" w:space="0" w:color="auto"/>
              <w:right w:val="single" w:sz="12" w:space="0" w:color="auto"/>
            </w:tcBorders>
            <w:hideMark/>
          </w:tcPr>
          <w:p w14:paraId="08E4EF07" w14:textId="77777777" w:rsidR="00F8236B" w:rsidRPr="002C272D" w:rsidRDefault="00F8236B">
            <w:pPr>
              <w:pStyle w:val="Tabletext"/>
              <w:keepNext/>
              <w:spacing w:before="120" w:after="120"/>
              <w:rPr>
                <w:rFonts w:asciiTheme="minorHAnsi" w:hAnsiTheme="minorHAnsi" w:cstheme="minorHAnsi"/>
                <w:sz w:val="24"/>
                <w:szCs w:val="24"/>
                <w:lang w:val="en-US"/>
              </w:rPr>
            </w:pPr>
            <w:hyperlink r:id="rId29" w:history="1">
              <w:r w:rsidRPr="002C272D">
                <w:rPr>
                  <w:rStyle w:val="Hyperlink"/>
                  <w:rFonts w:asciiTheme="minorHAnsi" w:hAnsiTheme="minorHAnsi" w:cstheme="minorHAnsi"/>
                  <w:sz w:val="24"/>
                  <w:szCs w:val="24"/>
                  <w:lang w:val="en-US"/>
                </w:rPr>
                <w:t>RGWP-C2(201208)</w:t>
              </w:r>
            </w:hyperlink>
            <w:r w:rsidRPr="002C272D">
              <w:rPr>
                <w:rFonts w:asciiTheme="minorHAnsi" w:hAnsiTheme="minorHAnsi" w:cstheme="minorHAnsi"/>
                <w:sz w:val="24"/>
                <w:szCs w:val="24"/>
                <w:lang w:val="en-US"/>
              </w:rPr>
              <w:t>(APT)</w:t>
            </w:r>
          </w:p>
        </w:tc>
      </w:tr>
      <w:tr w:rsidR="00F8236B" w:rsidRPr="002C272D" w14:paraId="306527F9" w14:textId="77777777"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14:paraId="4B09B520" w14:textId="77777777" w:rsidR="00F8236B" w:rsidRPr="002C272D" w:rsidRDefault="00F8236B">
            <w:pPr>
              <w:pStyle w:val="Tabletext"/>
              <w:spacing w:before="120" w:after="120"/>
              <w:rPr>
                <w:rFonts w:asciiTheme="minorHAnsi" w:hAnsiTheme="minorHAnsi" w:cstheme="minorHAnsi"/>
                <w:b/>
                <w:sz w:val="24"/>
                <w:szCs w:val="24"/>
                <w:lang w:val="en-US" w:eastAsia="zh-CN"/>
              </w:rPr>
            </w:pPr>
            <w:r w:rsidRPr="002C272D">
              <w:rPr>
                <w:rFonts w:asciiTheme="minorHAnsi" w:hAnsiTheme="minorHAnsi" w:cstheme="minorHAnsi"/>
                <w:b/>
                <w:sz w:val="24"/>
                <w:szCs w:val="24"/>
                <w:lang w:val="en-US"/>
              </w:rPr>
              <w:t>D: Cost-effectiveness and attractiveness</w:t>
            </w:r>
          </w:p>
        </w:tc>
        <w:tc>
          <w:tcPr>
            <w:tcW w:w="1842" w:type="dxa"/>
            <w:tcBorders>
              <w:top w:val="single" w:sz="4" w:space="0" w:color="auto"/>
              <w:left w:val="single" w:sz="12" w:space="0" w:color="auto"/>
              <w:bottom w:val="single" w:sz="4" w:space="0" w:color="auto"/>
              <w:right w:val="single" w:sz="12" w:space="0" w:color="auto"/>
            </w:tcBorders>
            <w:vAlign w:val="center"/>
            <w:hideMark/>
          </w:tcPr>
          <w:p w14:paraId="4E766DF5" w14:textId="77777777"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14:paraId="1B6BF7C1"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33BB3860" w14:textId="77777777" w:rsidR="00F8236B" w:rsidRPr="002C272D" w:rsidRDefault="00F8236B">
            <w:pPr>
              <w:pStyle w:val="ListParagraph"/>
              <w:widowControl w:val="0"/>
              <w:numPr>
                <w:ilvl w:val="0"/>
                <w:numId w:val="21"/>
              </w:numPr>
              <w:autoSpaceDE w:val="0"/>
              <w:autoSpaceDN w:val="0"/>
              <w:adjustRightInd w:val="0"/>
              <w:spacing w:before="120" w:after="120"/>
              <w:rPr>
                <w:rFonts w:cstheme="minorHAnsi"/>
                <w:sz w:val="24"/>
                <w:szCs w:val="24"/>
                <w:lang w:val="en-US" w:eastAsia="zh-CN"/>
              </w:rPr>
            </w:pPr>
            <w:r w:rsidRPr="002C272D">
              <w:rPr>
                <w:rFonts w:cstheme="minorHAnsi"/>
                <w:sz w:val="24"/>
                <w:szCs w:val="24"/>
                <w:lang w:val="en-US" w:eastAsia="zh-CN"/>
              </w:rPr>
              <w:t xml:space="preserve">Establish a better ecosystem for more industry verticals members’ participation. As this mix of technologies begins to connect virtually everyone and everything in the future, it is necessary to break inter-industry boundaries and achieve cross-industry integration and development. Meeting organization and schedule should be changed to support more efficient discussion. Industry trends and market requirement aspects should also be </w:t>
            </w:r>
            <w:proofErr w:type="gramStart"/>
            <w:r w:rsidRPr="002C272D">
              <w:rPr>
                <w:rFonts w:cstheme="minorHAnsi"/>
                <w:sz w:val="24"/>
                <w:szCs w:val="24"/>
                <w:lang w:val="en-US" w:eastAsia="zh-CN"/>
              </w:rPr>
              <w:t>taken into account</w:t>
            </w:r>
            <w:proofErr w:type="gramEnd"/>
            <w:r w:rsidRPr="002C272D">
              <w:rPr>
                <w:rFonts w:cstheme="minorHAnsi"/>
                <w:sz w:val="24"/>
                <w:szCs w:val="24"/>
                <w:lang w:val="en-US" w:eastAsia="zh-CN"/>
              </w:rPr>
              <w:t xml:space="preserve"> along with the technical view.</w:t>
            </w:r>
          </w:p>
        </w:tc>
        <w:tc>
          <w:tcPr>
            <w:tcW w:w="1842" w:type="dxa"/>
            <w:tcBorders>
              <w:top w:val="single" w:sz="4" w:space="0" w:color="auto"/>
              <w:left w:val="single" w:sz="12" w:space="0" w:color="auto"/>
              <w:bottom w:val="single" w:sz="4" w:space="0" w:color="auto"/>
              <w:right w:val="single" w:sz="12" w:space="0" w:color="auto"/>
            </w:tcBorders>
            <w:hideMark/>
          </w:tcPr>
          <w:p w14:paraId="306E8834" w14:textId="77777777" w:rsidR="00F8236B" w:rsidRPr="002C272D" w:rsidRDefault="00F8236B">
            <w:pPr>
              <w:pStyle w:val="Tabletext"/>
              <w:spacing w:before="120" w:after="120"/>
              <w:rPr>
                <w:rFonts w:asciiTheme="minorHAnsi" w:hAnsiTheme="minorHAnsi" w:cstheme="minorHAnsi"/>
                <w:sz w:val="24"/>
                <w:szCs w:val="24"/>
                <w:lang w:val="en-US"/>
              </w:rPr>
            </w:pPr>
            <w:hyperlink r:id="rId30" w:history="1">
              <w:r w:rsidRPr="002C272D">
                <w:rPr>
                  <w:rStyle w:val="Hyperlink"/>
                  <w:rFonts w:asciiTheme="minorHAnsi" w:hAnsiTheme="minorHAnsi" w:cstheme="minorHAnsi"/>
                  <w:sz w:val="24"/>
                  <w:szCs w:val="24"/>
                  <w:lang w:val="en-US" w:eastAsia="zh-CN"/>
                </w:rPr>
                <w:t>C105</w:t>
              </w:r>
            </w:hyperlink>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14:paraId="6FE4DA7A"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180C57D2" w14:textId="77777777" w:rsidR="00F8236B" w:rsidRPr="002C272D" w:rsidRDefault="00F8236B">
            <w:pPr>
              <w:pStyle w:val="ListParagraph"/>
              <w:numPr>
                <w:ilvl w:val="0"/>
                <w:numId w:val="21"/>
              </w:numPr>
              <w:spacing w:before="120" w:after="120"/>
              <w:rPr>
                <w:rFonts w:cstheme="minorHAnsi"/>
                <w:sz w:val="24"/>
                <w:szCs w:val="24"/>
                <w:lang w:val="en-US" w:eastAsia="zh-CN"/>
              </w:rPr>
            </w:pPr>
            <w:r w:rsidRPr="002C272D">
              <w:rPr>
                <w:rFonts w:cstheme="minorHAnsi"/>
                <w:sz w:val="24"/>
                <w:szCs w:val="24"/>
                <w:lang w:val="en-US" w:eastAsia="zh-CN"/>
              </w:rPr>
              <w:t xml:space="preserve">Enhance the attractiveness of ITU-T and attract more members, through timely publicizing the products (the recommendations, </w:t>
            </w:r>
            <w:proofErr w:type="gramStart"/>
            <w:r w:rsidRPr="002C272D">
              <w:rPr>
                <w:rFonts w:cstheme="minorHAnsi"/>
                <w:sz w:val="24"/>
                <w:szCs w:val="24"/>
                <w:lang w:val="en-US" w:eastAsia="zh-CN"/>
              </w:rPr>
              <w:t>deliverables</w:t>
            </w:r>
            <w:proofErr w:type="gramEnd"/>
            <w:r w:rsidRPr="002C272D">
              <w:rPr>
                <w:rFonts w:cstheme="minorHAnsi"/>
                <w:sz w:val="24"/>
                <w:szCs w:val="24"/>
                <w:lang w:val="en-US" w:eastAsia="zh-CN"/>
              </w:rPr>
              <w:t xml:space="preserve"> and various publications) and sharing knowledge within and outside ITU-T. Attract more new members to participate in and contribute to standardization work in SGs. Encourage the participation of the members from the developing countries and SME. Expand openness to the specialists in the new areas through Focus Groups and joint workshops.</w:t>
            </w:r>
          </w:p>
        </w:tc>
        <w:tc>
          <w:tcPr>
            <w:tcW w:w="1842" w:type="dxa"/>
            <w:tcBorders>
              <w:top w:val="single" w:sz="4" w:space="0" w:color="auto"/>
              <w:left w:val="single" w:sz="12" w:space="0" w:color="auto"/>
              <w:bottom w:val="single" w:sz="4" w:space="0" w:color="auto"/>
              <w:right w:val="single" w:sz="12" w:space="0" w:color="auto"/>
            </w:tcBorders>
            <w:hideMark/>
          </w:tcPr>
          <w:p w14:paraId="2C91C950" w14:textId="77777777" w:rsidR="00F8236B" w:rsidRPr="002C272D" w:rsidRDefault="00F8236B">
            <w:pPr>
              <w:pStyle w:val="Tabletext"/>
              <w:spacing w:before="120" w:after="120"/>
              <w:rPr>
                <w:rFonts w:asciiTheme="minorHAnsi" w:hAnsiTheme="minorHAnsi" w:cstheme="minorHAnsi"/>
                <w:sz w:val="24"/>
                <w:szCs w:val="24"/>
                <w:lang w:val="en-US" w:eastAsia="zh-CN"/>
              </w:rPr>
            </w:pPr>
            <w:hyperlink r:id="rId31" w:history="1">
              <w:r w:rsidRPr="002C272D">
                <w:rPr>
                  <w:rStyle w:val="Hyperlink"/>
                  <w:rFonts w:asciiTheme="minorHAnsi" w:hAnsiTheme="minorHAnsi" w:cstheme="minorHAnsi"/>
                  <w:sz w:val="24"/>
                  <w:szCs w:val="24"/>
                  <w:lang w:val="en-US" w:eastAsia="zh-CN"/>
                </w:rPr>
                <w:t>C120</w:t>
              </w:r>
            </w:hyperlink>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14:paraId="262FEB22"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399E610C" w14:textId="77777777" w:rsidR="00F8236B" w:rsidRPr="002C272D" w:rsidRDefault="00F8236B">
            <w:pPr>
              <w:pStyle w:val="ListParagraph"/>
              <w:numPr>
                <w:ilvl w:val="0"/>
                <w:numId w:val="21"/>
              </w:numPr>
              <w:spacing w:before="120" w:after="120"/>
              <w:rPr>
                <w:rFonts w:cstheme="minorHAnsi"/>
                <w:sz w:val="24"/>
                <w:szCs w:val="24"/>
                <w:lang w:val="en-US" w:eastAsia="zh-CN"/>
              </w:rPr>
            </w:pPr>
            <w:r w:rsidRPr="002C272D">
              <w:rPr>
                <w:rFonts w:cstheme="minorHAnsi"/>
                <w:sz w:val="24"/>
                <w:szCs w:val="24"/>
                <w:lang w:val="en-US" w:eastAsia="zh-CN"/>
              </w:rPr>
              <w:t xml:space="preserve">Share the successful story of SG16 to invigorate the Study Group itself by timely responding to the demands of the market, </w:t>
            </w:r>
            <w:proofErr w:type="gramStart"/>
            <w:r w:rsidRPr="002C272D">
              <w:rPr>
                <w:rFonts w:cstheme="minorHAnsi"/>
                <w:sz w:val="24"/>
                <w:szCs w:val="24"/>
                <w:lang w:val="en-US" w:eastAsia="zh-CN"/>
              </w:rPr>
              <w:t>industry</w:t>
            </w:r>
            <w:proofErr w:type="gramEnd"/>
            <w:r w:rsidRPr="002C272D">
              <w:rPr>
                <w:rFonts w:cstheme="minorHAnsi"/>
                <w:sz w:val="24"/>
                <w:szCs w:val="24"/>
                <w:lang w:val="en-US" w:eastAsia="zh-CN"/>
              </w:rPr>
              <w:t xml:space="preserve"> and members, continuously expanding new areas and establishing new work items, attracting more members to participate in the standardization work, accelerating the formulation of standards and producing influential outcomes, etc. It is proposed to consider the successful experiences of SG16 for ITU-T SGs Restructure as listed in clause 2 of this contribution.</w:t>
            </w:r>
          </w:p>
        </w:tc>
        <w:tc>
          <w:tcPr>
            <w:tcW w:w="1842" w:type="dxa"/>
            <w:tcBorders>
              <w:top w:val="single" w:sz="4" w:space="0" w:color="auto"/>
              <w:left w:val="single" w:sz="12" w:space="0" w:color="auto"/>
              <w:bottom w:val="single" w:sz="4" w:space="0" w:color="auto"/>
              <w:right w:val="single" w:sz="12" w:space="0" w:color="auto"/>
            </w:tcBorders>
            <w:hideMark/>
          </w:tcPr>
          <w:p w14:paraId="0BFDE467" w14:textId="77777777" w:rsidR="00F8236B" w:rsidRPr="002C272D" w:rsidRDefault="00F8236B">
            <w:pPr>
              <w:pStyle w:val="Tabletext"/>
              <w:spacing w:before="120" w:after="120"/>
              <w:rPr>
                <w:rFonts w:asciiTheme="minorHAnsi" w:hAnsiTheme="minorHAnsi" w:cstheme="minorHAnsi"/>
                <w:sz w:val="24"/>
                <w:szCs w:val="24"/>
                <w:lang w:val="en-US" w:eastAsia="zh-CN"/>
              </w:rPr>
            </w:pPr>
            <w:hyperlink r:id="rId32" w:history="1">
              <w:r w:rsidRPr="002C272D">
                <w:rPr>
                  <w:rStyle w:val="Hyperlink"/>
                  <w:rFonts w:asciiTheme="minorHAnsi" w:hAnsiTheme="minorHAnsi" w:cstheme="minorHAnsi"/>
                  <w:sz w:val="24"/>
                  <w:szCs w:val="24"/>
                  <w:lang w:val="en-US" w:eastAsia="zh-CN"/>
                </w:rPr>
                <w:t>C121</w:t>
              </w:r>
            </w:hyperlink>
            <w:r w:rsidRPr="002C272D">
              <w:rPr>
                <w:rStyle w:val="Hyperlink"/>
                <w:rFonts w:asciiTheme="minorHAnsi" w:hAnsiTheme="minorHAnsi" w:cstheme="minorHAnsi"/>
                <w:sz w:val="24"/>
                <w:szCs w:val="24"/>
                <w:lang w:val="en-US" w:eastAsia="zh-CN"/>
              </w:rPr>
              <w:t xml:space="preserve"> (CICT, China Telecom, Huawei, MIIT China)</w:t>
            </w:r>
          </w:p>
        </w:tc>
      </w:tr>
      <w:tr w:rsidR="00F8236B" w:rsidRPr="002C272D" w14:paraId="504EEDB9"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175C352C"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The overall Return on Investment for the industry as a high priority.</w:t>
            </w:r>
          </w:p>
          <w:p w14:paraId="477086D7"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Develop a narrative behind the new structure as a key ‘selling message’ and mission statement including a clarity on the ultimate goals we need to reach.</w:t>
            </w:r>
          </w:p>
        </w:tc>
        <w:tc>
          <w:tcPr>
            <w:tcW w:w="1842" w:type="dxa"/>
            <w:tcBorders>
              <w:top w:val="single" w:sz="4" w:space="0" w:color="auto"/>
              <w:left w:val="single" w:sz="12" w:space="0" w:color="auto"/>
              <w:bottom w:val="single" w:sz="4" w:space="0" w:color="auto"/>
              <w:right w:val="single" w:sz="12" w:space="0" w:color="auto"/>
            </w:tcBorders>
            <w:hideMark/>
          </w:tcPr>
          <w:p w14:paraId="42F1C63D" w14:textId="77777777" w:rsidR="00F8236B" w:rsidRPr="002C272D" w:rsidRDefault="00F8236B">
            <w:pPr>
              <w:pStyle w:val="Tabletext"/>
              <w:spacing w:before="120" w:after="120"/>
              <w:rPr>
                <w:rFonts w:asciiTheme="minorHAnsi" w:hAnsiTheme="minorHAnsi" w:cstheme="minorHAnsi"/>
                <w:sz w:val="24"/>
                <w:szCs w:val="24"/>
                <w:lang w:val="en-US" w:eastAsia="zh-CN"/>
              </w:rPr>
            </w:pPr>
            <w:hyperlink r:id="rId33" w:history="1">
              <w:r w:rsidRPr="002C272D">
                <w:rPr>
                  <w:rStyle w:val="Hyperlink"/>
                  <w:rFonts w:asciiTheme="minorHAnsi" w:hAnsiTheme="minorHAnsi" w:cstheme="minorHAnsi"/>
                  <w:sz w:val="24"/>
                  <w:szCs w:val="24"/>
                  <w:lang w:val="en-US" w:eastAsia="zh-CN"/>
                </w:rPr>
                <w:t>C15</w:t>
              </w:r>
              <w:r w:rsidRPr="002C272D">
                <w:rPr>
                  <w:rStyle w:val="Hyperlink"/>
                  <w:rFonts w:asciiTheme="minorHAnsi" w:hAnsiTheme="minorHAnsi" w:cstheme="minorHAnsi"/>
                  <w:sz w:val="24"/>
                  <w:szCs w:val="24"/>
                  <w:lang w:val="en-US"/>
                </w:rPr>
                <w:t>5</w:t>
              </w:r>
            </w:hyperlink>
            <w:r w:rsidRPr="002C272D">
              <w:rPr>
                <w:rStyle w:val="Hyperlink"/>
                <w:rFonts w:asciiTheme="minorHAnsi" w:hAnsiTheme="minorHAnsi" w:cstheme="minorHAnsi"/>
                <w:sz w:val="24"/>
                <w:szCs w:val="24"/>
                <w:lang w:val="en-US" w:eastAsia="zh-CN"/>
              </w:rPr>
              <w:t xml:space="preserve"> </w:t>
            </w:r>
            <w:r w:rsidRPr="002C272D">
              <w:rPr>
                <w:rStyle w:val="Hyperlink"/>
                <w:rFonts w:asciiTheme="minorHAnsi" w:hAnsiTheme="minorHAnsi" w:cstheme="minorHAnsi"/>
                <w:sz w:val="24"/>
                <w:szCs w:val="24"/>
                <w:lang w:val="en-US"/>
              </w:rPr>
              <w:t>(Broadcom)</w:t>
            </w:r>
          </w:p>
        </w:tc>
      </w:tr>
      <w:tr w:rsidR="00F8236B" w:rsidRPr="002C272D" w14:paraId="09A612A4"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7F02AAB2"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lastRenderedPageBreak/>
              <w:t xml:space="preserve">D-1) Ensure that SGs structure is able to attract intensive industry </w:t>
            </w:r>
            <w:proofErr w:type="gramStart"/>
            <w:r w:rsidRPr="002C272D">
              <w:rPr>
                <w:rFonts w:cstheme="minorHAnsi"/>
                <w:sz w:val="24"/>
                <w:szCs w:val="24"/>
                <w:lang w:val="en-US" w:eastAsia="en-US"/>
              </w:rPr>
              <w:t>participation, and</w:t>
            </w:r>
            <w:proofErr w:type="gramEnd"/>
            <w:r w:rsidRPr="002C272D">
              <w:rPr>
                <w:rFonts w:cstheme="minorHAnsi"/>
                <w:sz w:val="24"/>
                <w:szCs w:val="24"/>
                <w:lang w:val="en-US" w:eastAsia="en-US"/>
              </w:rPr>
              <w:t xml:space="preserve"> contribute to standardization work by many standard activities.</w:t>
            </w:r>
          </w:p>
          <w:p w14:paraId="245B5C5C"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 xml:space="preserve">D-2) Focus Groups and joint workshops could expand openness to the specialists in the new areas. Timely promoting the products and sharing knowledge within and outside ITU-T could also increase the attractiveness. </w:t>
            </w:r>
          </w:p>
          <w:p w14:paraId="5FF30C43"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 xml:space="preserve">D-3) Optimize the organization, </w:t>
            </w:r>
            <w:proofErr w:type="gramStart"/>
            <w:r w:rsidRPr="002C272D">
              <w:rPr>
                <w:rFonts w:cstheme="minorHAnsi"/>
                <w:sz w:val="24"/>
                <w:szCs w:val="24"/>
                <w:lang w:val="en-US" w:eastAsia="en-US"/>
              </w:rPr>
              <w:t>procedure</w:t>
            </w:r>
            <w:proofErr w:type="gramEnd"/>
            <w:r w:rsidRPr="002C272D">
              <w:rPr>
                <w:rFonts w:cstheme="minorHAnsi"/>
                <w:sz w:val="24"/>
                <w:szCs w:val="24"/>
                <w:lang w:val="en-US" w:eastAsia="en-US"/>
              </w:rPr>
              <w:t xml:space="preserve"> and experience of ITU-T e-meetings will improve the convenience for remote-participation and reduce the cost. </w:t>
            </w:r>
          </w:p>
          <w:p w14:paraId="0A2A5430"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D-4) Effective and productive SGs leadership and management teams on standard strategy and working mechanisms.</w:t>
            </w:r>
          </w:p>
          <w:p w14:paraId="14EC73DB"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D-5) Management of the meetings, participation of the member countries and logistical related operating issues due to the super-size of the SG with more Working Parties, should be solved and optimized.</w:t>
            </w:r>
          </w:p>
        </w:tc>
        <w:tc>
          <w:tcPr>
            <w:tcW w:w="1842" w:type="dxa"/>
            <w:tcBorders>
              <w:top w:val="single" w:sz="4" w:space="0" w:color="auto"/>
              <w:left w:val="single" w:sz="12" w:space="0" w:color="auto"/>
              <w:bottom w:val="single" w:sz="4" w:space="0" w:color="auto"/>
              <w:right w:val="single" w:sz="12" w:space="0" w:color="auto"/>
            </w:tcBorders>
            <w:hideMark/>
          </w:tcPr>
          <w:p w14:paraId="4E2557CC" w14:textId="77777777" w:rsidR="00F8236B" w:rsidRPr="002C272D" w:rsidRDefault="00F8236B">
            <w:pPr>
              <w:pStyle w:val="Tabletext"/>
              <w:spacing w:before="120" w:after="120"/>
              <w:rPr>
                <w:rFonts w:asciiTheme="minorHAnsi" w:hAnsiTheme="minorHAnsi" w:cstheme="minorHAnsi"/>
                <w:sz w:val="24"/>
                <w:szCs w:val="24"/>
                <w:lang w:val="en-US"/>
              </w:rPr>
            </w:pPr>
            <w:hyperlink r:id="rId34" w:history="1">
              <w:r w:rsidRPr="002C272D">
                <w:rPr>
                  <w:rStyle w:val="Hyperlink"/>
                  <w:rFonts w:asciiTheme="minorHAnsi" w:hAnsiTheme="minorHAnsi" w:cstheme="minorHAnsi"/>
                  <w:sz w:val="24"/>
                  <w:szCs w:val="24"/>
                  <w:lang w:val="en-US"/>
                </w:rPr>
                <w:t>RGWP-C4</w:t>
              </w:r>
            </w:hyperlink>
            <w:r w:rsidRPr="002C272D">
              <w:rPr>
                <w:rStyle w:val="Hyperlink"/>
                <w:rFonts w:asciiTheme="minorHAnsi" w:hAnsiTheme="minorHAnsi" w:cstheme="minorHAnsi"/>
                <w:sz w:val="24"/>
                <w:szCs w:val="24"/>
                <w:lang w:val="en-US"/>
              </w:rPr>
              <w:t xml:space="preserve"> (MIIT, China)</w:t>
            </w:r>
          </w:p>
        </w:tc>
      </w:tr>
      <w:tr w:rsidR="00F8236B" w:rsidRPr="002C272D" w14:paraId="43933E39"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4325D5C6"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 xml:space="preserve">D-1) Ensure that the Study Groups structure maintain and attract industry </w:t>
            </w:r>
            <w:proofErr w:type="gramStart"/>
            <w:r w:rsidRPr="002C272D">
              <w:rPr>
                <w:rFonts w:cstheme="minorHAnsi"/>
                <w:sz w:val="24"/>
                <w:szCs w:val="24"/>
                <w:lang w:val="en-US" w:eastAsia="en-US"/>
              </w:rPr>
              <w:t>participation, and</w:t>
            </w:r>
            <w:proofErr w:type="gramEnd"/>
            <w:r w:rsidRPr="002C272D">
              <w:rPr>
                <w:rFonts w:cstheme="minorHAnsi"/>
                <w:sz w:val="24"/>
                <w:szCs w:val="24"/>
                <w:lang w:val="en-US" w:eastAsia="en-US"/>
              </w:rPr>
              <w:t xml:space="preserve"> contribute to the standardization work by many standard activities.</w:t>
            </w:r>
          </w:p>
          <w:p w14:paraId="1D86EF9D"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 xml:space="preserve">D-2) Optimize the organization, </w:t>
            </w:r>
            <w:proofErr w:type="gramStart"/>
            <w:r w:rsidRPr="002C272D">
              <w:rPr>
                <w:rFonts w:cstheme="minorHAnsi"/>
                <w:sz w:val="24"/>
                <w:szCs w:val="24"/>
                <w:lang w:val="en-US" w:eastAsia="en-US"/>
              </w:rPr>
              <w:t>procedure</w:t>
            </w:r>
            <w:proofErr w:type="gramEnd"/>
            <w:r w:rsidRPr="002C272D">
              <w:rPr>
                <w:rFonts w:cstheme="minorHAnsi"/>
                <w:sz w:val="24"/>
                <w:szCs w:val="24"/>
                <w:lang w:val="en-US" w:eastAsia="en-US"/>
              </w:rPr>
              <w:t xml:space="preserve"> and experience of ITU-T virtual meetings (e-meetings) will improve remote-participation, which can lead to reduced cost for both members and the ITU-T. </w:t>
            </w:r>
          </w:p>
          <w:p w14:paraId="5CA315FA"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D-3) Ensure the effective and productive Study Groups’ leadership and management teams on standarization strategy and working mechanisms.</w:t>
            </w:r>
          </w:p>
          <w:p w14:paraId="778EFDA5" w14:textId="77777777"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 xml:space="preserve">D-4) The management of the meetings, participation of the members and logistical related operating issues due to the large size of the Study Groups that lead to more Working Parties, should be </w:t>
            </w:r>
            <w:proofErr w:type="gramStart"/>
            <w:r w:rsidRPr="002C272D">
              <w:rPr>
                <w:rFonts w:cstheme="minorHAnsi"/>
                <w:sz w:val="24"/>
                <w:szCs w:val="24"/>
                <w:lang w:val="en-US" w:eastAsia="en-US"/>
              </w:rPr>
              <w:t>solved</w:t>
            </w:r>
            <w:proofErr w:type="gramEnd"/>
            <w:r w:rsidRPr="002C272D">
              <w:rPr>
                <w:rFonts w:cstheme="minorHAnsi"/>
                <w:sz w:val="24"/>
                <w:szCs w:val="24"/>
                <w:lang w:val="en-US" w:eastAsia="en-US"/>
              </w:rPr>
              <w:t xml:space="preserve"> and optimized.</w:t>
            </w:r>
          </w:p>
        </w:tc>
        <w:tc>
          <w:tcPr>
            <w:tcW w:w="1842" w:type="dxa"/>
            <w:tcBorders>
              <w:top w:val="single" w:sz="4" w:space="0" w:color="auto"/>
              <w:left w:val="single" w:sz="12" w:space="0" w:color="auto"/>
              <w:bottom w:val="single" w:sz="4" w:space="0" w:color="auto"/>
              <w:right w:val="single" w:sz="12" w:space="0" w:color="auto"/>
            </w:tcBorders>
            <w:hideMark/>
          </w:tcPr>
          <w:p w14:paraId="43A59D60" w14:textId="77777777" w:rsidR="00F8236B" w:rsidRPr="002C272D" w:rsidRDefault="00F8236B">
            <w:pPr>
              <w:pStyle w:val="Tabletext"/>
              <w:spacing w:before="120" w:after="120"/>
              <w:rPr>
                <w:rFonts w:asciiTheme="minorHAnsi" w:hAnsiTheme="minorHAnsi" w:cstheme="minorHAnsi"/>
                <w:sz w:val="24"/>
                <w:szCs w:val="24"/>
                <w:lang w:val="en-US"/>
              </w:rPr>
            </w:pPr>
            <w:hyperlink r:id="rId35" w:history="1">
              <w:r w:rsidRPr="002C272D">
                <w:rPr>
                  <w:rStyle w:val="Hyperlink"/>
                  <w:rFonts w:asciiTheme="minorHAnsi" w:hAnsiTheme="minorHAnsi" w:cstheme="minorHAnsi"/>
                  <w:sz w:val="24"/>
                  <w:szCs w:val="24"/>
                  <w:lang w:val="en-US"/>
                </w:rPr>
                <w:t>RGWP-C2(201208)</w:t>
              </w:r>
            </w:hyperlink>
            <w:r w:rsidRPr="002C272D">
              <w:rPr>
                <w:rFonts w:asciiTheme="minorHAnsi" w:hAnsiTheme="minorHAnsi" w:cstheme="minorHAnsi"/>
                <w:sz w:val="24"/>
                <w:szCs w:val="24"/>
                <w:lang w:val="en-US"/>
              </w:rPr>
              <w:t>(APT)</w:t>
            </w:r>
          </w:p>
        </w:tc>
      </w:tr>
      <w:tr w:rsidR="00F8236B" w:rsidRPr="002C272D" w14:paraId="768A3BE6" w14:textId="77777777"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14:paraId="02C6DC17" w14:textId="77777777" w:rsidR="00F8236B" w:rsidRPr="002C272D" w:rsidRDefault="00F8236B">
            <w:pPr>
              <w:pStyle w:val="Tabletext"/>
              <w:keepNext/>
              <w:keepLines/>
              <w:spacing w:before="120" w:after="120"/>
              <w:rPr>
                <w:rFonts w:asciiTheme="minorHAnsi" w:hAnsiTheme="minorHAnsi" w:cstheme="minorHAnsi"/>
                <w:b/>
                <w:sz w:val="24"/>
                <w:szCs w:val="24"/>
                <w:lang w:val="en-US" w:eastAsia="zh-CN"/>
              </w:rPr>
            </w:pPr>
            <w:r w:rsidRPr="002C272D">
              <w:rPr>
                <w:rFonts w:asciiTheme="minorHAnsi" w:hAnsiTheme="minorHAnsi" w:cstheme="minorHAnsi"/>
                <w:b/>
                <w:sz w:val="24"/>
                <w:szCs w:val="24"/>
                <w:lang w:val="en-US"/>
              </w:rPr>
              <w:t>E: Efficient and productive working methods</w:t>
            </w:r>
          </w:p>
        </w:tc>
        <w:tc>
          <w:tcPr>
            <w:tcW w:w="1842" w:type="dxa"/>
            <w:tcBorders>
              <w:top w:val="single" w:sz="4" w:space="0" w:color="auto"/>
              <w:left w:val="single" w:sz="12" w:space="0" w:color="auto"/>
              <w:bottom w:val="single" w:sz="4" w:space="0" w:color="auto"/>
              <w:right w:val="single" w:sz="12" w:space="0" w:color="auto"/>
            </w:tcBorders>
            <w:vAlign w:val="center"/>
            <w:hideMark/>
          </w:tcPr>
          <w:p w14:paraId="21F6077E" w14:textId="77777777"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14:paraId="244833D9"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3028D034" w14:textId="77777777" w:rsidR="00F8236B" w:rsidRPr="002C272D" w:rsidRDefault="00F8236B">
            <w:pPr>
              <w:pStyle w:val="ListParagraph"/>
              <w:keepNext/>
              <w:keepLines/>
              <w:widowControl w:val="0"/>
              <w:numPr>
                <w:ilvl w:val="0"/>
                <w:numId w:val="22"/>
              </w:numPr>
              <w:autoSpaceDE w:val="0"/>
              <w:autoSpaceDN w:val="0"/>
              <w:adjustRightInd w:val="0"/>
              <w:spacing w:before="120" w:after="120"/>
              <w:rPr>
                <w:rFonts w:cstheme="minorHAnsi"/>
                <w:sz w:val="24"/>
                <w:szCs w:val="24"/>
                <w:lang w:val="en-US" w:eastAsia="zh-CN"/>
              </w:rPr>
            </w:pPr>
            <w:r w:rsidRPr="002C272D">
              <w:rPr>
                <w:rFonts w:cstheme="minorHAnsi"/>
                <w:sz w:val="24"/>
                <w:szCs w:val="24"/>
                <w:lang w:val="en-US" w:eastAsia="zh-CN"/>
              </w:rPr>
              <w:t xml:space="preserve">The entire system can work properly only when each module works properly. </w:t>
            </w:r>
            <w:proofErr w:type="gramStart"/>
            <w:r w:rsidRPr="002C272D">
              <w:rPr>
                <w:rFonts w:cstheme="minorHAnsi"/>
                <w:sz w:val="24"/>
                <w:szCs w:val="24"/>
                <w:lang w:val="en-US" w:eastAsia="zh-CN"/>
              </w:rPr>
              <w:t>In order to</w:t>
            </w:r>
            <w:proofErr w:type="gramEnd"/>
            <w:r w:rsidRPr="002C272D">
              <w:rPr>
                <w:rFonts w:cstheme="minorHAnsi"/>
                <w:sz w:val="24"/>
                <w:szCs w:val="24"/>
                <w:lang w:val="en-US" w:eastAsia="zh-CN"/>
              </w:rPr>
              <w:t xml:space="preserve"> improve the influence of ITU-T in the global standards and industry, each study group needs to adopt the most effective working methods according to the different characteristics and ecosystem of each technical field.</w:t>
            </w:r>
          </w:p>
        </w:tc>
        <w:tc>
          <w:tcPr>
            <w:tcW w:w="1842" w:type="dxa"/>
            <w:tcBorders>
              <w:top w:val="single" w:sz="4" w:space="0" w:color="auto"/>
              <w:left w:val="single" w:sz="12" w:space="0" w:color="auto"/>
              <w:bottom w:val="single" w:sz="4" w:space="0" w:color="auto"/>
              <w:right w:val="single" w:sz="12" w:space="0" w:color="auto"/>
            </w:tcBorders>
            <w:hideMark/>
          </w:tcPr>
          <w:p w14:paraId="28C8393A" w14:textId="77777777" w:rsidR="00F8236B" w:rsidRPr="002C272D" w:rsidRDefault="00F8236B">
            <w:pPr>
              <w:pStyle w:val="Tabletext"/>
              <w:rPr>
                <w:rFonts w:asciiTheme="minorHAnsi" w:hAnsiTheme="minorHAnsi" w:cstheme="minorHAnsi"/>
                <w:sz w:val="24"/>
                <w:szCs w:val="24"/>
                <w:lang w:val="en-US"/>
              </w:rPr>
            </w:pPr>
            <w:hyperlink r:id="rId36" w:history="1">
              <w:r w:rsidRPr="002C272D">
                <w:rPr>
                  <w:rStyle w:val="Hyperlink"/>
                  <w:rFonts w:asciiTheme="minorHAnsi" w:hAnsiTheme="minorHAnsi" w:cstheme="minorHAnsi"/>
                  <w:sz w:val="24"/>
                  <w:szCs w:val="24"/>
                  <w:lang w:val="en-US" w:eastAsia="zh-CN"/>
                </w:rPr>
                <w:t>C105</w:t>
              </w:r>
            </w:hyperlink>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14:paraId="03911283"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00F9D424"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 xml:space="preserve">The restructuring scheme of ITU-T SGs needs to adapt to the development trends of ICT technologies, </w:t>
            </w:r>
            <w:r w:rsidRPr="002C272D">
              <w:rPr>
                <w:rFonts w:cstheme="minorHAnsi"/>
                <w:color w:val="000000"/>
                <w:sz w:val="24"/>
                <w:szCs w:val="24"/>
                <w:lang w:val="en-US" w:eastAsia="zh-CN"/>
              </w:rPr>
              <w:t>respond to the needs of industry/market</w:t>
            </w:r>
            <w:r w:rsidRPr="002C272D">
              <w:rPr>
                <w:rFonts w:cstheme="minorHAnsi"/>
                <w:sz w:val="24"/>
                <w:szCs w:val="24"/>
                <w:lang w:val="en-US" w:eastAsia="zh-CN"/>
              </w:rPr>
              <w:t xml:space="preserve">, and meet the demands of ITU-T members. Each SG needs in more flexible way to set up, adjust or terminate its Questions, even Working Parties on demand of its members, in </w:t>
            </w:r>
            <w:r w:rsidRPr="002C272D">
              <w:rPr>
                <w:rFonts w:cstheme="minorHAnsi"/>
                <w:sz w:val="24"/>
                <w:szCs w:val="24"/>
                <w:lang w:val="en-US" w:eastAsia="zh-CN"/>
              </w:rPr>
              <w:lastRenderedPageBreak/>
              <w:t xml:space="preserve">quickly response to the requirement of ITU-T members on the new standards for the emerging ICT areas. ITU-T needs to seize the unprecedented development opportunity, adapt to the development trends of ICT technologies, </w:t>
            </w:r>
            <w:r w:rsidRPr="002C272D">
              <w:rPr>
                <w:rFonts w:cstheme="minorHAnsi"/>
                <w:color w:val="000000"/>
                <w:sz w:val="24"/>
                <w:szCs w:val="24"/>
                <w:lang w:val="en-US" w:eastAsia="zh-CN"/>
              </w:rPr>
              <w:t>respond to the needs of industry/market</w:t>
            </w:r>
            <w:r w:rsidRPr="002C272D">
              <w:rPr>
                <w:rFonts w:cstheme="minorHAnsi"/>
                <w:sz w:val="24"/>
                <w:szCs w:val="24"/>
                <w:lang w:val="en-US" w:eastAsia="zh-CN"/>
              </w:rPr>
              <w:t>, meet the demands of ITU-T members, and accelerate the development of ICT technical standards in a faster and more flexible way, especially for ICT empowerment in vertical industries.</w:t>
            </w:r>
          </w:p>
        </w:tc>
        <w:tc>
          <w:tcPr>
            <w:tcW w:w="1842" w:type="dxa"/>
            <w:tcBorders>
              <w:top w:val="single" w:sz="4" w:space="0" w:color="auto"/>
              <w:left w:val="single" w:sz="12" w:space="0" w:color="auto"/>
              <w:bottom w:val="single" w:sz="4" w:space="0" w:color="auto"/>
              <w:right w:val="single" w:sz="12" w:space="0" w:color="auto"/>
            </w:tcBorders>
            <w:hideMark/>
          </w:tcPr>
          <w:p w14:paraId="0B4C276C" w14:textId="77777777" w:rsidR="00F8236B" w:rsidRPr="002C272D" w:rsidRDefault="00F8236B">
            <w:pPr>
              <w:pStyle w:val="Tabletext"/>
              <w:rPr>
                <w:rFonts w:asciiTheme="minorHAnsi" w:hAnsiTheme="minorHAnsi" w:cstheme="minorHAnsi"/>
                <w:sz w:val="24"/>
                <w:szCs w:val="24"/>
                <w:lang w:val="en-US" w:eastAsia="zh-CN"/>
              </w:rPr>
            </w:pPr>
            <w:hyperlink r:id="rId37" w:history="1">
              <w:r w:rsidRPr="002C272D">
                <w:rPr>
                  <w:rStyle w:val="Hyperlink"/>
                  <w:rFonts w:asciiTheme="minorHAnsi" w:hAnsiTheme="minorHAnsi" w:cstheme="minorHAnsi"/>
                  <w:sz w:val="24"/>
                  <w:szCs w:val="24"/>
                  <w:lang w:val="en-US" w:eastAsia="zh-CN"/>
                </w:rPr>
                <w:t>C120</w:t>
              </w:r>
            </w:hyperlink>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14:paraId="70D6CA7C"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6F7FD403" w14:textId="77777777" w:rsidR="00F8236B" w:rsidRPr="002C272D" w:rsidRDefault="00F8236B">
            <w:pPr>
              <w:pStyle w:val="ListParagraph"/>
              <w:numPr>
                <w:ilvl w:val="0"/>
                <w:numId w:val="22"/>
              </w:numPr>
              <w:spacing w:before="120" w:after="120"/>
              <w:rPr>
                <w:rFonts w:cstheme="minorHAnsi"/>
                <w:sz w:val="24"/>
                <w:szCs w:val="24"/>
                <w:lang w:val="en-US" w:eastAsia="en-US"/>
              </w:rPr>
            </w:pPr>
            <w:r w:rsidRPr="002C272D">
              <w:rPr>
                <w:rFonts w:cstheme="minorHAnsi"/>
                <w:sz w:val="24"/>
                <w:szCs w:val="24"/>
                <w:lang w:val="en-US" w:eastAsia="en-US"/>
              </w:rPr>
              <w:t xml:space="preserve">A mechanism to improve the quality, harmonisation, coherency, </w:t>
            </w:r>
            <w:proofErr w:type="gramStart"/>
            <w:r w:rsidRPr="002C272D">
              <w:rPr>
                <w:rFonts w:cstheme="minorHAnsi"/>
                <w:sz w:val="24"/>
                <w:szCs w:val="24"/>
                <w:lang w:val="en-US" w:eastAsia="en-US"/>
              </w:rPr>
              <w:t>composition</w:t>
            </w:r>
            <w:proofErr w:type="gramEnd"/>
            <w:r w:rsidRPr="002C272D">
              <w:rPr>
                <w:rFonts w:cstheme="minorHAnsi"/>
                <w:sz w:val="24"/>
                <w:szCs w:val="24"/>
                <w:lang w:val="en-US" w:eastAsia="en-US"/>
              </w:rPr>
              <w:t xml:space="preserve"> and sustainability for our work in a uniform manner across study groups with a mechanism ‘a la’ Architecture Advisory Board (AAB), hoping that TSAG can approve a feasibility study and allowing to compensate to inherent defects on any imperfection of the future organization in front of heavy densification of the problems in the future.</w:t>
            </w:r>
          </w:p>
          <w:p w14:paraId="15F563ED" w14:textId="77777777" w:rsidR="00F8236B" w:rsidRPr="002C272D" w:rsidRDefault="00F8236B">
            <w:pPr>
              <w:pStyle w:val="ListParagraph"/>
              <w:numPr>
                <w:ilvl w:val="0"/>
                <w:numId w:val="22"/>
              </w:numPr>
              <w:spacing w:before="120" w:after="120"/>
              <w:rPr>
                <w:rFonts w:cstheme="minorHAnsi"/>
                <w:sz w:val="24"/>
                <w:szCs w:val="24"/>
                <w:lang w:val="en-US" w:eastAsia="en-US"/>
              </w:rPr>
            </w:pPr>
            <w:r w:rsidRPr="002C272D">
              <w:rPr>
                <w:rFonts w:cstheme="minorHAnsi"/>
                <w:sz w:val="24"/>
                <w:szCs w:val="24"/>
                <w:lang w:val="en-US" w:eastAsia="en-US"/>
              </w:rPr>
              <w:t xml:space="preserve">How to include innovation in a </w:t>
            </w:r>
            <w:proofErr w:type="gramStart"/>
            <w:r w:rsidRPr="002C272D">
              <w:rPr>
                <w:rFonts w:cstheme="minorHAnsi"/>
                <w:sz w:val="24"/>
                <w:szCs w:val="24"/>
                <w:lang w:val="en-US" w:eastAsia="en-US"/>
              </w:rPr>
              <w:t>top down</w:t>
            </w:r>
            <w:proofErr w:type="gramEnd"/>
            <w:r w:rsidRPr="002C272D">
              <w:rPr>
                <w:rFonts w:cstheme="minorHAnsi"/>
                <w:sz w:val="24"/>
                <w:szCs w:val="24"/>
                <w:lang w:val="en-US" w:eastAsia="en-US"/>
              </w:rPr>
              <w:t xml:space="preserve"> approach and which balance between top down and bottom up approach.</w:t>
            </w:r>
          </w:p>
          <w:p w14:paraId="02073B77"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en-US"/>
              </w:rPr>
              <w:t>Measures to name effective Vice Chairman in Study Groups.</w:t>
            </w:r>
          </w:p>
        </w:tc>
        <w:tc>
          <w:tcPr>
            <w:tcW w:w="1842" w:type="dxa"/>
            <w:tcBorders>
              <w:top w:val="single" w:sz="4" w:space="0" w:color="auto"/>
              <w:left w:val="single" w:sz="12" w:space="0" w:color="auto"/>
              <w:bottom w:val="single" w:sz="4" w:space="0" w:color="auto"/>
              <w:right w:val="single" w:sz="12" w:space="0" w:color="auto"/>
            </w:tcBorders>
            <w:hideMark/>
          </w:tcPr>
          <w:p w14:paraId="6A80F8D4" w14:textId="77777777" w:rsidR="00F8236B" w:rsidRPr="002C272D" w:rsidRDefault="00F8236B">
            <w:pPr>
              <w:pStyle w:val="Tabletext"/>
              <w:rPr>
                <w:rFonts w:asciiTheme="minorHAnsi" w:hAnsiTheme="minorHAnsi" w:cstheme="minorHAnsi"/>
                <w:sz w:val="24"/>
                <w:szCs w:val="24"/>
                <w:lang w:val="en-US" w:eastAsia="zh-CN"/>
              </w:rPr>
            </w:pPr>
            <w:hyperlink r:id="rId38" w:history="1">
              <w:r w:rsidRPr="002C272D">
                <w:rPr>
                  <w:rStyle w:val="Hyperlink"/>
                  <w:rFonts w:asciiTheme="minorHAnsi" w:hAnsiTheme="minorHAnsi" w:cstheme="minorHAnsi"/>
                  <w:sz w:val="24"/>
                  <w:szCs w:val="24"/>
                  <w:lang w:val="en-US" w:eastAsia="zh-CN"/>
                </w:rPr>
                <w:t>C129</w:t>
              </w:r>
            </w:hyperlink>
            <w:r w:rsidRPr="002C272D">
              <w:rPr>
                <w:rStyle w:val="Hyperlink"/>
                <w:rFonts w:asciiTheme="minorHAnsi" w:hAnsiTheme="minorHAnsi" w:cstheme="minorHAnsi"/>
                <w:sz w:val="24"/>
                <w:szCs w:val="24"/>
                <w:lang w:val="en-US" w:eastAsia="zh-CN"/>
              </w:rPr>
              <w:t xml:space="preserve"> (Broadcom)</w:t>
            </w:r>
          </w:p>
        </w:tc>
      </w:tr>
      <w:tr w:rsidR="00F8236B" w:rsidRPr="002C272D" w14:paraId="7CEFDFF2"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7B22F659"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Collecting statistics of the participants, contributions received and published recommendations of various SGs.</w:t>
            </w:r>
          </w:p>
          <w:p w14:paraId="0751A58D" w14:textId="77777777" w:rsidR="00F8236B" w:rsidRPr="002C272D" w:rsidRDefault="00F8236B">
            <w:pPr>
              <w:pStyle w:val="ListParagraph"/>
              <w:numPr>
                <w:ilvl w:val="0"/>
                <w:numId w:val="22"/>
              </w:numPr>
              <w:spacing w:before="120" w:after="120"/>
              <w:jc w:val="both"/>
              <w:rPr>
                <w:rFonts w:cstheme="minorHAnsi"/>
                <w:sz w:val="24"/>
                <w:szCs w:val="24"/>
                <w:lang w:val="en-US" w:eastAsia="zh-CN"/>
              </w:rPr>
            </w:pPr>
            <w:r w:rsidRPr="002C272D">
              <w:rPr>
                <w:rFonts w:cstheme="minorHAnsi"/>
                <w:sz w:val="24"/>
                <w:szCs w:val="24"/>
                <w:lang w:val="en-US" w:eastAsia="zh-CN"/>
              </w:rPr>
              <w:t>Number of e-Meetings being conducted.</w:t>
            </w:r>
          </w:p>
          <w:p w14:paraId="6248D761"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Outputs of Focus Group feeding into SG work.</w:t>
            </w:r>
          </w:p>
          <w:p w14:paraId="1F7B972E"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Leadership opportunities available based on region/gender.</w:t>
            </w:r>
          </w:p>
        </w:tc>
        <w:tc>
          <w:tcPr>
            <w:tcW w:w="1842" w:type="dxa"/>
            <w:tcBorders>
              <w:top w:val="single" w:sz="4" w:space="0" w:color="auto"/>
              <w:left w:val="single" w:sz="12" w:space="0" w:color="auto"/>
              <w:bottom w:val="single" w:sz="4" w:space="0" w:color="auto"/>
              <w:right w:val="single" w:sz="12" w:space="0" w:color="auto"/>
            </w:tcBorders>
            <w:hideMark/>
          </w:tcPr>
          <w:p w14:paraId="63638B9D" w14:textId="77777777" w:rsidR="00F8236B" w:rsidRPr="002C272D" w:rsidRDefault="00F8236B">
            <w:pPr>
              <w:pStyle w:val="Tabletext"/>
              <w:rPr>
                <w:rFonts w:asciiTheme="minorHAnsi" w:hAnsiTheme="minorHAnsi" w:cstheme="minorHAnsi"/>
                <w:sz w:val="24"/>
                <w:szCs w:val="24"/>
                <w:lang w:val="en-US" w:eastAsia="zh-CN"/>
              </w:rPr>
            </w:pPr>
            <w:hyperlink r:id="rId39" w:history="1">
              <w:r w:rsidRPr="002C272D">
                <w:rPr>
                  <w:rStyle w:val="Hyperlink"/>
                  <w:rFonts w:asciiTheme="minorHAnsi" w:hAnsiTheme="minorHAnsi" w:cstheme="minorHAnsi"/>
                  <w:sz w:val="24"/>
                  <w:szCs w:val="24"/>
                  <w:lang w:val="en-US" w:eastAsia="zh-CN"/>
                </w:rPr>
                <w:t>C134</w:t>
              </w:r>
            </w:hyperlink>
            <w:r w:rsidRPr="002C272D">
              <w:rPr>
                <w:rStyle w:val="Hyperlink"/>
                <w:rFonts w:asciiTheme="minorHAnsi" w:hAnsiTheme="minorHAnsi" w:cstheme="minorHAnsi"/>
                <w:sz w:val="24"/>
                <w:szCs w:val="24"/>
                <w:lang w:val="en-US" w:eastAsia="zh-CN"/>
              </w:rPr>
              <w:t xml:space="preserve"> (India)</w:t>
            </w:r>
          </w:p>
        </w:tc>
      </w:tr>
      <w:tr w:rsidR="00F8236B" w:rsidRPr="002C272D" w14:paraId="042475D6"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196F45EC"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 xml:space="preserve">E-1) Each study group should provide technical experts with a proper organization in Working Party and Question level to meet the requirements of members and related industry, and effective working methods to develop ITU-T Recommendations in a professional and productive way. </w:t>
            </w:r>
          </w:p>
          <w:p w14:paraId="5CDA1DB7"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E-2) Enhancing the internal vitality of each study group is very important, it’s suggested to learn and refer to the internal and external best practices (excellent cases) to carry out innovation and reform within the Study Group and improve working methods.</w:t>
            </w:r>
          </w:p>
        </w:tc>
        <w:tc>
          <w:tcPr>
            <w:tcW w:w="1842" w:type="dxa"/>
            <w:tcBorders>
              <w:top w:val="single" w:sz="4" w:space="0" w:color="auto"/>
              <w:left w:val="single" w:sz="12" w:space="0" w:color="auto"/>
              <w:bottom w:val="single" w:sz="4" w:space="0" w:color="auto"/>
              <w:right w:val="single" w:sz="12" w:space="0" w:color="auto"/>
            </w:tcBorders>
            <w:hideMark/>
          </w:tcPr>
          <w:p w14:paraId="36B2CB0D" w14:textId="77777777" w:rsidR="00F8236B" w:rsidRPr="002C272D" w:rsidRDefault="00F8236B">
            <w:pPr>
              <w:pStyle w:val="Tabletext"/>
              <w:rPr>
                <w:rFonts w:asciiTheme="minorHAnsi" w:hAnsiTheme="minorHAnsi" w:cstheme="minorHAnsi"/>
                <w:sz w:val="24"/>
                <w:szCs w:val="24"/>
                <w:lang w:val="en-US"/>
              </w:rPr>
            </w:pPr>
            <w:hyperlink r:id="rId40" w:history="1">
              <w:r w:rsidRPr="002C272D">
                <w:rPr>
                  <w:rStyle w:val="Hyperlink"/>
                  <w:rFonts w:asciiTheme="minorHAnsi" w:hAnsiTheme="minorHAnsi" w:cstheme="minorHAnsi"/>
                  <w:sz w:val="24"/>
                  <w:szCs w:val="24"/>
                  <w:lang w:val="en-US"/>
                </w:rPr>
                <w:t>RGWP-C4</w:t>
              </w:r>
            </w:hyperlink>
            <w:r w:rsidRPr="002C272D">
              <w:rPr>
                <w:rStyle w:val="Hyperlink"/>
                <w:rFonts w:asciiTheme="minorHAnsi" w:hAnsiTheme="minorHAnsi" w:cstheme="minorHAnsi"/>
                <w:sz w:val="24"/>
                <w:szCs w:val="24"/>
                <w:lang w:val="en-US"/>
              </w:rPr>
              <w:t xml:space="preserve"> (MIIT, China)</w:t>
            </w:r>
          </w:p>
        </w:tc>
      </w:tr>
      <w:tr w:rsidR="00F8236B" w:rsidRPr="002C272D" w14:paraId="6E1D3640"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05C94A7E"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 xml:space="preserve">E-1) Each Study Group should provide technical experts with optimized organization of Working Parties and Questions to meet the requirements of members and related industry, and effective working methods to develop ITU-T Recommendations in a professional and productive way. </w:t>
            </w:r>
          </w:p>
          <w:p w14:paraId="163B7CA6" w14:textId="77777777"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E-2) Strengthening the effectiveness and efficiency of the internal operations of the Study Groups can assist with this principle.  It’s suggested Study Groups should learn and refer to the best practices from other SDOs to improve working methods.</w:t>
            </w:r>
          </w:p>
        </w:tc>
        <w:tc>
          <w:tcPr>
            <w:tcW w:w="1842" w:type="dxa"/>
            <w:tcBorders>
              <w:top w:val="single" w:sz="4" w:space="0" w:color="auto"/>
              <w:left w:val="single" w:sz="12" w:space="0" w:color="auto"/>
              <w:bottom w:val="single" w:sz="4" w:space="0" w:color="auto"/>
              <w:right w:val="single" w:sz="12" w:space="0" w:color="auto"/>
            </w:tcBorders>
            <w:hideMark/>
          </w:tcPr>
          <w:p w14:paraId="03299A9D" w14:textId="77777777" w:rsidR="00F8236B" w:rsidRPr="002C272D" w:rsidRDefault="00F8236B">
            <w:pPr>
              <w:pStyle w:val="Tabletext"/>
              <w:rPr>
                <w:rFonts w:asciiTheme="minorHAnsi" w:hAnsiTheme="minorHAnsi" w:cstheme="minorHAnsi"/>
                <w:sz w:val="24"/>
                <w:szCs w:val="24"/>
                <w:lang w:val="en-US"/>
              </w:rPr>
            </w:pPr>
            <w:hyperlink r:id="rId41" w:history="1">
              <w:r w:rsidRPr="002C272D">
                <w:rPr>
                  <w:rStyle w:val="Hyperlink"/>
                  <w:rFonts w:asciiTheme="minorHAnsi" w:hAnsiTheme="minorHAnsi" w:cstheme="minorHAnsi"/>
                  <w:sz w:val="24"/>
                  <w:szCs w:val="24"/>
                  <w:lang w:val="en-US"/>
                </w:rPr>
                <w:t>RGWP-C2(201208)</w:t>
              </w:r>
            </w:hyperlink>
            <w:r w:rsidRPr="002C272D">
              <w:rPr>
                <w:rFonts w:asciiTheme="minorHAnsi" w:hAnsiTheme="minorHAnsi" w:cstheme="minorHAnsi"/>
                <w:sz w:val="24"/>
                <w:szCs w:val="24"/>
                <w:lang w:val="en-US"/>
              </w:rPr>
              <w:t>(APT)</w:t>
            </w:r>
          </w:p>
        </w:tc>
      </w:tr>
      <w:tr w:rsidR="00F8236B" w:rsidRPr="002C272D" w14:paraId="4BB484C3" w14:textId="77777777"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14:paraId="71B71E73" w14:textId="77777777" w:rsidR="00F8236B" w:rsidRPr="002C272D" w:rsidRDefault="00F8236B">
            <w:pPr>
              <w:pStyle w:val="Tabletext"/>
              <w:keepNext/>
              <w:keepLines/>
              <w:spacing w:before="120" w:after="120"/>
              <w:rPr>
                <w:rFonts w:asciiTheme="minorHAnsi" w:hAnsiTheme="minorHAnsi" w:cstheme="minorHAnsi"/>
                <w:b/>
                <w:sz w:val="24"/>
                <w:szCs w:val="24"/>
                <w:lang w:val="en-US" w:eastAsia="zh-CN"/>
              </w:rPr>
            </w:pPr>
            <w:r w:rsidRPr="002C272D">
              <w:rPr>
                <w:rFonts w:asciiTheme="minorHAnsi" w:hAnsiTheme="minorHAnsi" w:cstheme="minorHAnsi"/>
                <w:b/>
                <w:sz w:val="24"/>
                <w:szCs w:val="24"/>
                <w:lang w:val="en-US"/>
              </w:rPr>
              <w:lastRenderedPageBreak/>
              <w:t>F: Timely identification of standardization needs</w:t>
            </w:r>
          </w:p>
        </w:tc>
        <w:tc>
          <w:tcPr>
            <w:tcW w:w="1842" w:type="dxa"/>
            <w:tcBorders>
              <w:top w:val="single" w:sz="4" w:space="0" w:color="auto"/>
              <w:left w:val="single" w:sz="12" w:space="0" w:color="auto"/>
              <w:bottom w:val="single" w:sz="4" w:space="0" w:color="auto"/>
              <w:right w:val="single" w:sz="12" w:space="0" w:color="auto"/>
            </w:tcBorders>
            <w:hideMark/>
          </w:tcPr>
          <w:p w14:paraId="19181399" w14:textId="77777777" w:rsidR="00F8236B" w:rsidRPr="002C272D" w:rsidRDefault="00F8236B">
            <w:pPr>
              <w:pStyle w:val="Tabletext"/>
              <w:keepNext/>
              <w:keepLines/>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14:paraId="5F076F02"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6755FECF" w14:textId="77777777" w:rsidR="00F8236B" w:rsidRPr="002C272D" w:rsidRDefault="00F8236B">
            <w:pPr>
              <w:pStyle w:val="ListParagraph"/>
              <w:numPr>
                <w:ilvl w:val="0"/>
                <w:numId w:val="23"/>
              </w:numPr>
              <w:spacing w:before="120" w:after="120"/>
              <w:rPr>
                <w:rFonts w:eastAsia="Malgun Gothic" w:cstheme="minorHAnsi"/>
                <w:i/>
                <w:sz w:val="24"/>
                <w:szCs w:val="24"/>
                <w:lang w:val="en-US" w:eastAsia="ko-KR"/>
              </w:rPr>
            </w:pPr>
            <w:r w:rsidRPr="002C272D">
              <w:rPr>
                <w:rFonts w:cstheme="minorHAnsi"/>
                <w:sz w:val="24"/>
                <w:szCs w:val="24"/>
                <w:lang w:val="en-US" w:eastAsia="zh-CN"/>
              </w:rPr>
              <w:t>Strengthen organizational structure reform and work mechanism innovation are the core driving forces for the development and prosperity of ITU-T. Enhancing the internal vitality of the study group is the key to the success of the SGs restructuring. It is suggested</w:t>
            </w:r>
          </w:p>
          <w:p w14:paraId="691D4076" w14:textId="77777777" w:rsidR="00F8236B" w:rsidRPr="002C272D" w:rsidRDefault="00F8236B">
            <w:pPr>
              <w:pStyle w:val="ListParagraph"/>
              <w:spacing w:after="120"/>
              <w:ind w:left="360"/>
              <w:rPr>
                <w:rFonts w:eastAsiaTheme="minorHAnsi" w:cstheme="minorHAnsi"/>
                <w:sz w:val="24"/>
                <w:szCs w:val="24"/>
                <w:lang w:val="en-US" w:eastAsia="zh-CN"/>
              </w:rPr>
            </w:pPr>
            <w:r w:rsidRPr="002C272D">
              <w:rPr>
                <w:rFonts w:cstheme="minorHAnsi"/>
                <w:sz w:val="24"/>
                <w:szCs w:val="24"/>
                <w:lang w:val="en-US" w:eastAsia="zh-CN"/>
              </w:rPr>
              <w:t xml:space="preserve">1) to optimise the internal structure and the scope of Questions in a Study Group, in response to the standardization requirements of ITU-T members in a fast and timely </w:t>
            </w:r>
            <w:proofErr w:type="gramStart"/>
            <w:r w:rsidRPr="002C272D">
              <w:rPr>
                <w:rFonts w:cstheme="minorHAnsi"/>
                <w:sz w:val="24"/>
                <w:szCs w:val="24"/>
                <w:lang w:val="en-US" w:eastAsia="zh-CN"/>
              </w:rPr>
              <w:t>manner;</w:t>
            </w:r>
            <w:proofErr w:type="gramEnd"/>
          </w:p>
          <w:p w14:paraId="223ED2F9" w14:textId="77777777" w:rsidR="00F8236B" w:rsidRPr="002C272D" w:rsidRDefault="00F8236B">
            <w:pPr>
              <w:pStyle w:val="ListParagraph"/>
              <w:spacing w:after="120"/>
              <w:ind w:left="360"/>
              <w:rPr>
                <w:rFonts w:eastAsia="Malgun Gothic" w:cstheme="minorHAnsi"/>
                <w:i/>
                <w:sz w:val="24"/>
                <w:szCs w:val="24"/>
                <w:lang w:val="en-US" w:eastAsia="ko-KR"/>
              </w:rPr>
            </w:pPr>
            <w:r w:rsidRPr="002C272D">
              <w:rPr>
                <w:rFonts w:cstheme="minorHAnsi"/>
                <w:sz w:val="24"/>
                <w:szCs w:val="24"/>
                <w:lang w:val="en-US" w:eastAsia="zh-CN"/>
              </w:rPr>
              <w:t>2) to learn and refer to the internal and external best practices (excellent cases) to carry out innovation and reform within the Study Group and improve working methods.</w:t>
            </w:r>
          </w:p>
        </w:tc>
        <w:tc>
          <w:tcPr>
            <w:tcW w:w="1842" w:type="dxa"/>
            <w:tcBorders>
              <w:top w:val="single" w:sz="4" w:space="0" w:color="auto"/>
              <w:left w:val="single" w:sz="12" w:space="0" w:color="auto"/>
              <w:bottom w:val="single" w:sz="4" w:space="0" w:color="auto"/>
              <w:right w:val="single" w:sz="12" w:space="0" w:color="auto"/>
            </w:tcBorders>
            <w:hideMark/>
          </w:tcPr>
          <w:p w14:paraId="5F3067B5" w14:textId="77777777" w:rsidR="00F8236B" w:rsidRPr="002C272D" w:rsidRDefault="00F8236B">
            <w:pPr>
              <w:pStyle w:val="Tabletext"/>
              <w:spacing w:before="120" w:after="120"/>
              <w:rPr>
                <w:rFonts w:asciiTheme="minorHAnsi" w:hAnsiTheme="minorHAnsi" w:cstheme="minorHAnsi"/>
                <w:sz w:val="24"/>
                <w:szCs w:val="24"/>
                <w:lang w:val="en-US" w:eastAsia="zh-CN"/>
              </w:rPr>
            </w:pPr>
            <w:hyperlink r:id="rId42" w:history="1">
              <w:r w:rsidRPr="002C272D">
                <w:rPr>
                  <w:rStyle w:val="Hyperlink"/>
                  <w:rFonts w:asciiTheme="minorHAnsi" w:hAnsiTheme="minorHAnsi" w:cstheme="minorHAnsi"/>
                  <w:sz w:val="24"/>
                  <w:szCs w:val="24"/>
                  <w:lang w:val="en-US" w:eastAsia="zh-CN"/>
                </w:rPr>
                <w:t>C120</w:t>
              </w:r>
            </w:hyperlink>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14:paraId="4BA07EC1"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3B3A7AEA" w14:textId="77777777" w:rsidR="00F8236B" w:rsidRPr="002C272D" w:rsidRDefault="00F8236B">
            <w:pPr>
              <w:pStyle w:val="ListParagraph"/>
              <w:numPr>
                <w:ilvl w:val="0"/>
                <w:numId w:val="23"/>
              </w:numPr>
              <w:spacing w:before="120" w:after="120"/>
              <w:ind w:left="357" w:hanging="357"/>
              <w:rPr>
                <w:rFonts w:eastAsia="MS Mincho" w:cstheme="minorHAnsi"/>
                <w:sz w:val="24"/>
                <w:szCs w:val="24"/>
                <w:lang w:val="en-US" w:eastAsia="zh-CN"/>
              </w:rPr>
            </w:pPr>
            <w:r w:rsidRPr="002C272D">
              <w:rPr>
                <w:rFonts w:cstheme="minorHAnsi"/>
                <w:sz w:val="24"/>
                <w:szCs w:val="24"/>
                <w:lang w:val="en-US" w:eastAsia="zh-CN"/>
              </w:rPr>
              <w:t>New and emerging areas that are not being covered by current SGs.</w:t>
            </w:r>
          </w:p>
        </w:tc>
        <w:tc>
          <w:tcPr>
            <w:tcW w:w="1842" w:type="dxa"/>
            <w:tcBorders>
              <w:top w:val="single" w:sz="4" w:space="0" w:color="auto"/>
              <w:left w:val="single" w:sz="12" w:space="0" w:color="auto"/>
              <w:bottom w:val="single" w:sz="4" w:space="0" w:color="auto"/>
              <w:right w:val="single" w:sz="12" w:space="0" w:color="auto"/>
            </w:tcBorders>
            <w:hideMark/>
          </w:tcPr>
          <w:p w14:paraId="4D8A3F05" w14:textId="77777777" w:rsidR="00F8236B" w:rsidRPr="002C272D" w:rsidRDefault="00F8236B">
            <w:pPr>
              <w:pStyle w:val="Tabletext"/>
              <w:spacing w:before="120" w:after="120"/>
              <w:rPr>
                <w:rFonts w:asciiTheme="minorHAnsi" w:hAnsiTheme="minorHAnsi" w:cstheme="minorHAnsi"/>
                <w:sz w:val="24"/>
                <w:szCs w:val="24"/>
                <w:lang w:val="en-US" w:eastAsia="zh-CN"/>
              </w:rPr>
            </w:pPr>
            <w:hyperlink r:id="rId43" w:history="1">
              <w:r w:rsidRPr="002C272D">
                <w:rPr>
                  <w:rStyle w:val="Hyperlink"/>
                  <w:rFonts w:asciiTheme="minorHAnsi" w:hAnsiTheme="minorHAnsi" w:cstheme="minorHAnsi"/>
                  <w:sz w:val="24"/>
                  <w:szCs w:val="24"/>
                  <w:lang w:val="en-US" w:eastAsia="zh-CN"/>
                </w:rPr>
                <w:t>C134</w:t>
              </w:r>
            </w:hyperlink>
            <w:r w:rsidRPr="002C272D">
              <w:rPr>
                <w:rStyle w:val="Hyperlink"/>
                <w:rFonts w:asciiTheme="minorHAnsi" w:hAnsiTheme="minorHAnsi" w:cstheme="minorHAnsi"/>
                <w:sz w:val="24"/>
                <w:szCs w:val="24"/>
                <w:lang w:val="en-US" w:eastAsia="zh-CN"/>
              </w:rPr>
              <w:t xml:space="preserve"> (India)</w:t>
            </w:r>
          </w:p>
        </w:tc>
      </w:tr>
      <w:tr w:rsidR="00F8236B" w:rsidRPr="002C272D" w14:paraId="09DA0DEB"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672B8714" w14:textId="77777777"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 xml:space="preserve">F-1) ITU-T SGs needs to take innovation measures on internal organization to adapt to the development trends of ICT technologies, respond to the needs of industry/market, and meet the demands of ITU-T members, especially for ICT empowerment to vertical industries and digital transformation in a fast and timely </w:t>
            </w:r>
            <w:proofErr w:type="gramStart"/>
            <w:r w:rsidRPr="002C272D">
              <w:rPr>
                <w:rFonts w:cstheme="minorHAnsi"/>
                <w:sz w:val="24"/>
                <w:szCs w:val="24"/>
                <w:lang w:val="en-US" w:eastAsia="zh-CN"/>
              </w:rPr>
              <w:t>manner;</w:t>
            </w:r>
            <w:proofErr w:type="gramEnd"/>
          </w:p>
          <w:p w14:paraId="0BEA09B9" w14:textId="77777777"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 xml:space="preserve">F-2) The mechanism of Focus Group is a successful practice need to be encouraged and optimized to strengthen the study of SGs on new emerging ICT technologies and applications. It could be identified via the statistics on the activities, </w:t>
            </w:r>
            <w:proofErr w:type="gramStart"/>
            <w:r w:rsidRPr="002C272D">
              <w:rPr>
                <w:rFonts w:cstheme="minorHAnsi"/>
                <w:sz w:val="24"/>
                <w:szCs w:val="24"/>
                <w:lang w:val="en-US" w:eastAsia="zh-CN"/>
              </w:rPr>
              <w:t>deliverables</w:t>
            </w:r>
            <w:proofErr w:type="gramEnd"/>
            <w:r w:rsidRPr="002C272D">
              <w:rPr>
                <w:rFonts w:cstheme="minorHAnsi"/>
                <w:sz w:val="24"/>
                <w:szCs w:val="24"/>
                <w:lang w:val="en-US" w:eastAsia="zh-CN"/>
              </w:rPr>
              <w:t xml:space="preserve"> and their transformation to their parent groups of the Focus Groups established in this study period.</w:t>
            </w:r>
          </w:p>
          <w:p w14:paraId="2C83B08F" w14:textId="77777777"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 xml:space="preserve">F-3) SDG related requirements from ITU members should be </w:t>
            </w:r>
            <w:proofErr w:type="gramStart"/>
            <w:r w:rsidRPr="002C272D">
              <w:rPr>
                <w:rFonts w:cstheme="minorHAnsi"/>
                <w:sz w:val="24"/>
                <w:szCs w:val="24"/>
                <w:lang w:val="en-US" w:eastAsia="zh-CN"/>
              </w:rPr>
              <w:t>taken into account</w:t>
            </w:r>
            <w:proofErr w:type="gramEnd"/>
            <w:r w:rsidRPr="002C272D">
              <w:rPr>
                <w:rFonts w:cstheme="minorHAnsi"/>
                <w:sz w:val="24"/>
                <w:szCs w:val="24"/>
                <w:lang w:val="en-US" w:eastAsia="zh-CN"/>
              </w:rPr>
              <w:t xml:space="preserve">, such as digital transformation, by adjustment of the work priorities of the ITU-T. While consolidating great advances in standards for inter-connection, ITU-T should elevate its influence at the service and application </w:t>
            </w:r>
            <w:proofErr w:type="gramStart"/>
            <w:r w:rsidRPr="002C272D">
              <w:rPr>
                <w:rFonts w:cstheme="minorHAnsi"/>
                <w:sz w:val="24"/>
                <w:szCs w:val="24"/>
                <w:lang w:val="en-US" w:eastAsia="zh-CN"/>
              </w:rPr>
              <w:t>layer, and</w:t>
            </w:r>
            <w:proofErr w:type="gramEnd"/>
            <w:r w:rsidRPr="002C272D">
              <w:rPr>
                <w:rFonts w:cstheme="minorHAnsi"/>
                <w:sz w:val="24"/>
                <w:szCs w:val="24"/>
                <w:lang w:val="en-US" w:eastAsia="zh-CN"/>
              </w:rPr>
              <w:t xml:space="preserve"> put more resource at those study groups.</w:t>
            </w:r>
          </w:p>
        </w:tc>
        <w:tc>
          <w:tcPr>
            <w:tcW w:w="1842" w:type="dxa"/>
            <w:tcBorders>
              <w:top w:val="single" w:sz="4" w:space="0" w:color="auto"/>
              <w:left w:val="single" w:sz="12" w:space="0" w:color="auto"/>
              <w:bottom w:val="single" w:sz="4" w:space="0" w:color="auto"/>
              <w:right w:val="single" w:sz="12" w:space="0" w:color="auto"/>
            </w:tcBorders>
            <w:hideMark/>
          </w:tcPr>
          <w:p w14:paraId="53193A2F" w14:textId="77777777" w:rsidR="00F8236B" w:rsidRPr="002C272D" w:rsidRDefault="00F8236B">
            <w:pPr>
              <w:pStyle w:val="Tabletext"/>
              <w:spacing w:before="120" w:after="120"/>
              <w:rPr>
                <w:rFonts w:asciiTheme="minorHAnsi" w:hAnsiTheme="minorHAnsi" w:cstheme="minorHAnsi"/>
                <w:sz w:val="24"/>
                <w:szCs w:val="24"/>
                <w:lang w:val="en-US"/>
              </w:rPr>
            </w:pPr>
            <w:hyperlink r:id="rId44" w:history="1">
              <w:r w:rsidRPr="002C272D">
                <w:rPr>
                  <w:rStyle w:val="Hyperlink"/>
                  <w:rFonts w:asciiTheme="minorHAnsi" w:hAnsiTheme="minorHAnsi" w:cstheme="minorHAnsi"/>
                  <w:sz w:val="24"/>
                  <w:szCs w:val="24"/>
                  <w:lang w:val="en-US"/>
                </w:rPr>
                <w:t>RGWP-C4</w:t>
              </w:r>
            </w:hyperlink>
            <w:r w:rsidRPr="002C272D">
              <w:rPr>
                <w:rStyle w:val="Hyperlink"/>
                <w:rFonts w:asciiTheme="minorHAnsi" w:hAnsiTheme="minorHAnsi" w:cstheme="minorHAnsi"/>
                <w:sz w:val="24"/>
                <w:szCs w:val="24"/>
                <w:lang w:val="en-US"/>
              </w:rPr>
              <w:t xml:space="preserve"> (MIIT, China)</w:t>
            </w:r>
          </w:p>
        </w:tc>
      </w:tr>
      <w:tr w:rsidR="00F8236B" w:rsidRPr="002C272D" w14:paraId="1D279FEB"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0D54B8FB" w14:textId="77777777"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 xml:space="preserve">F-1) ITU-T Study Groups should optimize internal organization to adapt to the development trends of ICT technologies, respond to the needs of industry, and meet the demands of ITU-T </w:t>
            </w:r>
            <w:proofErr w:type="gramStart"/>
            <w:r w:rsidRPr="002C272D">
              <w:rPr>
                <w:rFonts w:cstheme="minorHAnsi"/>
                <w:sz w:val="24"/>
                <w:szCs w:val="24"/>
                <w:lang w:val="en-US" w:eastAsia="zh-CN"/>
              </w:rPr>
              <w:t>members;</w:t>
            </w:r>
            <w:proofErr w:type="gramEnd"/>
          </w:p>
          <w:p w14:paraId="0649290A" w14:textId="77777777"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 xml:space="preserve">F-2) The mechanism of Focus Group is a successful practice and need to be well managed to strengthen the study of Study Groups on new emerging ICT technologies and applications. </w:t>
            </w:r>
          </w:p>
          <w:p w14:paraId="3FB80C6C" w14:textId="77777777"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 xml:space="preserve">F-3) SDGs and inter-operability of Telcom/ICT related requirements from members should be </w:t>
            </w:r>
            <w:proofErr w:type="gramStart"/>
            <w:r w:rsidRPr="002C272D">
              <w:rPr>
                <w:rFonts w:cstheme="minorHAnsi"/>
                <w:sz w:val="24"/>
                <w:szCs w:val="24"/>
                <w:lang w:val="en-US" w:eastAsia="zh-CN"/>
              </w:rPr>
              <w:t>taken into account</w:t>
            </w:r>
            <w:proofErr w:type="gramEnd"/>
            <w:r w:rsidRPr="002C272D">
              <w:rPr>
                <w:rFonts w:cstheme="minorHAnsi"/>
                <w:sz w:val="24"/>
                <w:szCs w:val="24"/>
                <w:lang w:val="en-US" w:eastAsia="zh-CN"/>
              </w:rPr>
              <w:t>, by adjustment of the work priorities of the ITU-T.</w:t>
            </w:r>
          </w:p>
        </w:tc>
        <w:tc>
          <w:tcPr>
            <w:tcW w:w="1842" w:type="dxa"/>
            <w:tcBorders>
              <w:top w:val="single" w:sz="4" w:space="0" w:color="auto"/>
              <w:left w:val="single" w:sz="12" w:space="0" w:color="auto"/>
              <w:bottom w:val="single" w:sz="4" w:space="0" w:color="auto"/>
              <w:right w:val="single" w:sz="12" w:space="0" w:color="auto"/>
            </w:tcBorders>
            <w:hideMark/>
          </w:tcPr>
          <w:p w14:paraId="12C15006" w14:textId="77777777" w:rsidR="00F8236B" w:rsidRPr="002C272D" w:rsidRDefault="00F8236B">
            <w:pPr>
              <w:pStyle w:val="Tabletext"/>
              <w:spacing w:before="120" w:after="120"/>
              <w:rPr>
                <w:rFonts w:asciiTheme="minorHAnsi" w:hAnsiTheme="minorHAnsi" w:cstheme="minorHAnsi"/>
                <w:sz w:val="24"/>
                <w:szCs w:val="24"/>
                <w:lang w:val="en-US"/>
              </w:rPr>
            </w:pPr>
            <w:hyperlink r:id="rId45" w:history="1">
              <w:r w:rsidRPr="002C272D">
                <w:rPr>
                  <w:rStyle w:val="Hyperlink"/>
                  <w:rFonts w:asciiTheme="minorHAnsi" w:hAnsiTheme="minorHAnsi" w:cstheme="minorHAnsi"/>
                  <w:sz w:val="24"/>
                  <w:szCs w:val="24"/>
                  <w:lang w:val="en-US"/>
                </w:rPr>
                <w:t>RGWP-C2(201208)</w:t>
              </w:r>
            </w:hyperlink>
            <w:r w:rsidRPr="002C272D">
              <w:rPr>
                <w:rFonts w:asciiTheme="minorHAnsi" w:hAnsiTheme="minorHAnsi" w:cstheme="minorHAnsi"/>
                <w:sz w:val="24"/>
                <w:szCs w:val="24"/>
                <w:lang w:val="en-US"/>
              </w:rPr>
              <w:t>(APT)</w:t>
            </w:r>
          </w:p>
        </w:tc>
      </w:tr>
      <w:tr w:rsidR="00F8236B" w:rsidRPr="002C272D" w14:paraId="6D361185" w14:textId="77777777"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14:paraId="142EB485" w14:textId="77777777" w:rsidR="00F8236B" w:rsidRPr="002C272D" w:rsidRDefault="00F8236B">
            <w:pPr>
              <w:pStyle w:val="Tabletext"/>
              <w:spacing w:before="120" w:after="120"/>
              <w:rPr>
                <w:rFonts w:asciiTheme="minorHAnsi" w:hAnsiTheme="minorHAnsi" w:cstheme="minorHAnsi"/>
                <w:b/>
                <w:sz w:val="24"/>
                <w:szCs w:val="24"/>
                <w:lang w:val="en-US" w:eastAsia="zh-CN"/>
              </w:rPr>
            </w:pPr>
            <w:r w:rsidRPr="002C272D">
              <w:rPr>
                <w:rFonts w:asciiTheme="minorHAnsi" w:hAnsiTheme="minorHAnsi" w:cstheme="minorHAnsi"/>
                <w:b/>
                <w:sz w:val="24"/>
                <w:szCs w:val="24"/>
                <w:lang w:val="en-US"/>
              </w:rPr>
              <w:t>G: Support for bridging the standardization gap</w:t>
            </w:r>
          </w:p>
        </w:tc>
        <w:tc>
          <w:tcPr>
            <w:tcW w:w="1842" w:type="dxa"/>
            <w:tcBorders>
              <w:top w:val="single" w:sz="4" w:space="0" w:color="auto"/>
              <w:left w:val="single" w:sz="12" w:space="0" w:color="auto"/>
              <w:bottom w:val="single" w:sz="4" w:space="0" w:color="auto"/>
              <w:right w:val="single" w:sz="12" w:space="0" w:color="auto"/>
            </w:tcBorders>
            <w:vAlign w:val="center"/>
            <w:hideMark/>
          </w:tcPr>
          <w:p w14:paraId="5ED003FE" w14:textId="77777777"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14:paraId="07DC8A14" w14:textId="77777777"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14:paraId="4E4B0AE2" w14:textId="77777777" w:rsidR="00F8236B" w:rsidRPr="002C272D" w:rsidRDefault="00F8236B">
            <w:pPr>
              <w:pStyle w:val="ListParagraph"/>
              <w:numPr>
                <w:ilvl w:val="0"/>
                <w:numId w:val="25"/>
              </w:numPr>
              <w:spacing w:before="120"/>
              <w:rPr>
                <w:rFonts w:eastAsia="Malgun Gothic" w:cstheme="minorHAnsi"/>
                <w:iCs/>
                <w:sz w:val="24"/>
                <w:szCs w:val="24"/>
                <w:lang w:val="en-US" w:eastAsia="ko-KR"/>
              </w:rPr>
            </w:pPr>
            <w:r w:rsidRPr="002C272D">
              <w:rPr>
                <w:rFonts w:eastAsia="Malgun Gothic" w:cstheme="minorHAnsi"/>
                <w:iCs/>
                <w:sz w:val="24"/>
                <w:szCs w:val="24"/>
                <w:lang w:val="en-US" w:eastAsia="ko-KR"/>
              </w:rPr>
              <w:lastRenderedPageBreak/>
              <w:t>G-1) Improving the participation experience and meeting the requirements of the developing countries by sharing the best practices, publishing more guidelines on the implementation of ITU-T Recommendations and new ICT technical reports, and responding their requirements in a timely manner are very crucial for bridging standardization gap.</w:t>
            </w:r>
          </w:p>
          <w:p w14:paraId="2FED6BC6" w14:textId="77777777" w:rsidR="00F8236B" w:rsidRPr="002C272D" w:rsidRDefault="00F8236B">
            <w:pPr>
              <w:pStyle w:val="ListParagraph"/>
              <w:numPr>
                <w:ilvl w:val="0"/>
                <w:numId w:val="25"/>
              </w:numPr>
              <w:spacing w:before="120"/>
              <w:rPr>
                <w:rFonts w:eastAsia="Malgun Gothic" w:cstheme="minorHAnsi"/>
                <w:i/>
                <w:sz w:val="24"/>
                <w:szCs w:val="24"/>
                <w:lang w:val="en-US" w:eastAsia="ko-KR"/>
              </w:rPr>
            </w:pPr>
            <w:r w:rsidRPr="002C272D">
              <w:rPr>
                <w:rFonts w:eastAsia="Malgun Gothic" w:cstheme="minorHAnsi"/>
                <w:iCs/>
                <w:sz w:val="24"/>
                <w:szCs w:val="24"/>
                <w:lang w:val="en-US" w:eastAsia="ko-KR"/>
              </w:rPr>
              <w:t>G-2) Enhancing the BSG training on ITU-T website and regional groups.</w:t>
            </w:r>
          </w:p>
        </w:tc>
        <w:tc>
          <w:tcPr>
            <w:tcW w:w="1842" w:type="dxa"/>
            <w:tcBorders>
              <w:top w:val="single" w:sz="4" w:space="0" w:color="auto"/>
              <w:left w:val="single" w:sz="12" w:space="0" w:color="auto"/>
              <w:bottom w:val="single" w:sz="4" w:space="0" w:color="auto"/>
              <w:right w:val="single" w:sz="12" w:space="0" w:color="auto"/>
            </w:tcBorders>
            <w:hideMark/>
          </w:tcPr>
          <w:p w14:paraId="424C6571" w14:textId="77777777" w:rsidR="00F8236B" w:rsidRPr="002C272D" w:rsidRDefault="00F8236B">
            <w:pPr>
              <w:pStyle w:val="Tabletext"/>
              <w:rPr>
                <w:rFonts w:asciiTheme="minorHAnsi" w:hAnsiTheme="minorHAnsi" w:cstheme="minorHAnsi"/>
                <w:sz w:val="24"/>
                <w:szCs w:val="24"/>
                <w:lang w:val="en-US"/>
              </w:rPr>
            </w:pPr>
            <w:hyperlink r:id="rId46" w:history="1">
              <w:r w:rsidRPr="002C272D">
                <w:rPr>
                  <w:rStyle w:val="Hyperlink"/>
                  <w:rFonts w:asciiTheme="minorHAnsi" w:hAnsiTheme="minorHAnsi" w:cstheme="minorHAnsi"/>
                  <w:sz w:val="24"/>
                  <w:szCs w:val="24"/>
                  <w:lang w:val="en-US"/>
                </w:rPr>
                <w:t>RGWP-C4</w:t>
              </w:r>
            </w:hyperlink>
            <w:r w:rsidRPr="002C272D">
              <w:rPr>
                <w:rStyle w:val="Hyperlink"/>
                <w:rFonts w:asciiTheme="minorHAnsi" w:hAnsiTheme="minorHAnsi" w:cstheme="minorHAnsi"/>
                <w:sz w:val="24"/>
                <w:szCs w:val="24"/>
                <w:lang w:val="en-US"/>
              </w:rPr>
              <w:t xml:space="preserve"> (MIIT, China)</w:t>
            </w:r>
          </w:p>
        </w:tc>
      </w:tr>
      <w:tr w:rsidR="00F8236B" w:rsidRPr="002C272D" w14:paraId="6694458A" w14:textId="77777777" w:rsidTr="009617B8">
        <w:trPr>
          <w:gridBefore w:val="1"/>
          <w:wBefore w:w="428" w:type="dxa"/>
          <w:jc w:val="center"/>
        </w:trPr>
        <w:tc>
          <w:tcPr>
            <w:tcW w:w="7339" w:type="dxa"/>
            <w:tcBorders>
              <w:top w:val="single" w:sz="4" w:space="0" w:color="auto"/>
              <w:left w:val="single" w:sz="12" w:space="0" w:color="auto"/>
              <w:bottom w:val="single" w:sz="12" w:space="0" w:color="auto"/>
              <w:right w:val="single" w:sz="12" w:space="0" w:color="auto"/>
            </w:tcBorders>
            <w:hideMark/>
          </w:tcPr>
          <w:p w14:paraId="32A9D591" w14:textId="77777777" w:rsidR="00F8236B" w:rsidRPr="002C272D" w:rsidRDefault="00F8236B">
            <w:pPr>
              <w:pStyle w:val="ListParagraph"/>
              <w:numPr>
                <w:ilvl w:val="0"/>
                <w:numId w:val="25"/>
              </w:numPr>
              <w:spacing w:before="120"/>
              <w:rPr>
                <w:rFonts w:eastAsia="Malgun Gothic" w:cstheme="minorHAnsi"/>
                <w:iCs/>
                <w:sz w:val="24"/>
                <w:szCs w:val="24"/>
                <w:lang w:val="en-US" w:eastAsia="ko-KR"/>
              </w:rPr>
            </w:pPr>
            <w:r w:rsidRPr="002C272D">
              <w:rPr>
                <w:rFonts w:eastAsia="Malgun Gothic" w:cstheme="minorHAnsi"/>
                <w:iCs/>
                <w:sz w:val="24"/>
                <w:szCs w:val="24"/>
                <w:lang w:val="en-US" w:eastAsia="ko-KR"/>
              </w:rPr>
              <w:t xml:space="preserve">G-1) Encourage the participation of the members from the developing countries and SME according to WTSA Res.44 and PP Res. 209. </w:t>
            </w:r>
          </w:p>
          <w:p w14:paraId="3872ED46" w14:textId="77777777" w:rsidR="00F8236B" w:rsidRPr="002C272D" w:rsidRDefault="00F8236B">
            <w:pPr>
              <w:pStyle w:val="ListParagraph"/>
              <w:numPr>
                <w:ilvl w:val="0"/>
                <w:numId w:val="25"/>
              </w:numPr>
              <w:spacing w:before="120"/>
              <w:rPr>
                <w:rFonts w:eastAsia="Malgun Gothic" w:cstheme="minorHAnsi"/>
                <w:iCs/>
                <w:sz w:val="24"/>
                <w:szCs w:val="24"/>
                <w:lang w:val="en-US" w:eastAsia="ko-KR"/>
              </w:rPr>
            </w:pPr>
            <w:r w:rsidRPr="002C272D">
              <w:rPr>
                <w:rFonts w:eastAsia="Malgun Gothic" w:cstheme="minorHAnsi"/>
                <w:iCs/>
                <w:sz w:val="24"/>
                <w:szCs w:val="24"/>
                <w:lang w:val="en-US" w:eastAsia="ko-KR"/>
              </w:rPr>
              <w:t xml:space="preserve">G-2) Enhance the training on bridging the standardization gap through ITU-T website and regional groups. </w:t>
            </w:r>
          </w:p>
        </w:tc>
        <w:tc>
          <w:tcPr>
            <w:tcW w:w="1842" w:type="dxa"/>
            <w:tcBorders>
              <w:top w:val="single" w:sz="4" w:space="0" w:color="auto"/>
              <w:left w:val="single" w:sz="12" w:space="0" w:color="auto"/>
              <w:bottom w:val="single" w:sz="12" w:space="0" w:color="auto"/>
              <w:right w:val="single" w:sz="12" w:space="0" w:color="auto"/>
            </w:tcBorders>
            <w:hideMark/>
          </w:tcPr>
          <w:p w14:paraId="2C0568DA" w14:textId="77777777" w:rsidR="00F8236B" w:rsidRPr="002C272D" w:rsidRDefault="00F8236B">
            <w:pPr>
              <w:pStyle w:val="Tabletext"/>
              <w:rPr>
                <w:rFonts w:asciiTheme="minorHAnsi" w:hAnsiTheme="minorHAnsi" w:cstheme="minorHAnsi"/>
                <w:sz w:val="24"/>
                <w:szCs w:val="24"/>
                <w:lang w:val="en-US"/>
              </w:rPr>
            </w:pPr>
            <w:hyperlink r:id="rId47" w:history="1">
              <w:r w:rsidRPr="002C272D">
                <w:rPr>
                  <w:rStyle w:val="Hyperlink"/>
                  <w:rFonts w:asciiTheme="minorHAnsi" w:hAnsiTheme="minorHAnsi" w:cstheme="minorHAnsi"/>
                  <w:sz w:val="24"/>
                  <w:szCs w:val="24"/>
                  <w:lang w:val="en-US"/>
                </w:rPr>
                <w:t>RGWP-C2(201208)</w:t>
              </w:r>
            </w:hyperlink>
            <w:r w:rsidRPr="002C272D">
              <w:rPr>
                <w:rFonts w:asciiTheme="minorHAnsi" w:hAnsiTheme="minorHAnsi" w:cstheme="minorHAnsi"/>
                <w:sz w:val="24"/>
                <w:szCs w:val="24"/>
                <w:lang w:val="en-US"/>
              </w:rPr>
              <w:t>(APT)</w:t>
            </w:r>
          </w:p>
        </w:tc>
      </w:tr>
    </w:tbl>
    <w:p w14:paraId="613CB0DF" w14:textId="77777777" w:rsidR="00F8236B" w:rsidRPr="002C272D" w:rsidRDefault="00F8236B" w:rsidP="003D7BA3">
      <w:pPr>
        <w:spacing w:line="240" w:lineRule="auto"/>
        <w:rPr>
          <w:rFonts w:cstheme="minorHAnsi"/>
          <w:szCs w:val="24"/>
        </w:rPr>
      </w:pPr>
    </w:p>
    <w:p w14:paraId="705A50DF" w14:textId="77777777" w:rsidR="00F8236B" w:rsidRPr="002C272D" w:rsidRDefault="00F8236B" w:rsidP="003D7BA3">
      <w:pPr>
        <w:spacing w:line="240" w:lineRule="auto"/>
        <w:rPr>
          <w:rFonts w:cstheme="minorHAnsi"/>
          <w:szCs w:val="24"/>
        </w:rPr>
      </w:pPr>
      <w:r w:rsidRPr="002C272D">
        <w:rPr>
          <w:rFonts w:cstheme="minorHAnsi"/>
          <w:szCs w:val="24"/>
        </w:rPr>
        <w:br w:type="page"/>
      </w:r>
    </w:p>
    <w:p w14:paraId="53DD7080" w14:textId="77777777" w:rsidR="00F8236B" w:rsidRPr="002C272D" w:rsidRDefault="00F8236B">
      <w:pPr>
        <w:pStyle w:val="Headingb"/>
        <w:rPr>
          <w:rFonts w:asciiTheme="minorHAnsi" w:hAnsiTheme="minorHAnsi" w:cstheme="minorHAnsi"/>
          <w:szCs w:val="24"/>
        </w:rPr>
      </w:pPr>
      <w:r w:rsidRPr="002C272D">
        <w:rPr>
          <w:rFonts w:asciiTheme="minorHAnsi" w:hAnsiTheme="minorHAnsi" w:cstheme="minorHAnsi"/>
          <w:szCs w:val="24"/>
        </w:rPr>
        <w:lastRenderedPageBreak/>
        <w:t>References:</w:t>
      </w:r>
    </w:p>
    <w:p w14:paraId="7131B125" w14:textId="77777777" w:rsidR="00F8236B" w:rsidRPr="00BE0454" w:rsidRDefault="00F8236B" w:rsidP="003D7BA3">
      <w:pPr>
        <w:spacing w:line="240" w:lineRule="auto"/>
        <w:ind w:left="1560" w:hanging="1560"/>
        <w:rPr>
          <w:rStyle w:val="Hyperlink"/>
          <w:rFonts w:asciiTheme="minorHAnsi" w:hAnsiTheme="minorHAnsi" w:cstheme="minorHAnsi"/>
          <w:szCs w:val="24"/>
        </w:rPr>
      </w:pPr>
      <w:hyperlink r:id="rId48" w:history="1">
        <w:r w:rsidRPr="002C272D">
          <w:rPr>
            <w:rStyle w:val="Hyperlink"/>
            <w:rFonts w:asciiTheme="minorHAnsi" w:hAnsiTheme="minorHAnsi" w:cstheme="minorHAnsi"/>
            <w:szCs w:val="24"/>
          </w:rPr>
          <w:t>TSAG-R7</w:t>
        </w:r>
      </w:hyperlink>
      <w:r w:rsidRPr="002C272D">
        <w:rPr>
          <w:rFonts w:cstheme="minorHAnsi"/>
          <w:szCs w:val="24"/>
        </w:rPr>
        <w:tab/>
        <w:t>(TSAG) “</w:t>
      </w:r>
      <w:r w:rsidRPr="002C272D">
        <w:rPr>
          <w:rFonts w:cstheme="minorHAnsi"/>
          <w:i/>
          <w:iCs/>
          <w:szCs w:val="24"/>
        </w:rPr>
        <w:t>Report of the fourth TSAG meeting held in Geneva, 1-5 February 2016”</w:t>
      </w:r>
      <w:r w:rsidRPr="002C272D">
        <w:rPr>
          <w:rFonts w:cstheme="minorHAnsi"/>
          <w:szCs w:val="24"/>
        </w:rPr>
        <w:t>.</w:t>
      </w:r>
    </w:p>
    <w:p w14:paraId="1A65BFB2" w14:textId="77777777" w:rsidR="00F8236B" w:rsidRPr="002C272D" w:rsidRDefault="00F8236B" w:rsidP="003D7BA3">
      <w:pPr>
        <w:spacing w:line="240" w:lineRule="auto"/>
        <w:ind w:left="1560" w:hanging="1560"/>
        <w:rPr>
          <w:rFonts w:cstheme="minorHAnsi"/>
          <w:szCs w:val="24"/>
          <w:lang w:eastAsia="zh-CN"/>
        </w:rPr>
      </w:pPr>
      <w:hyperlink r:id="rId49" w:history="1">
        <w:r w:rsidRPr="002C272D">
          <w:rPr>
            <w:rStyle w:val="Hyperlink"/>
            <w:rFonts w:asciiTheme="minorHAnsi" w:hAnsiTheme="minorHAnsi" w:cstheme="minorHAnsi"/>
            <w:szCs w:val="24"/>
          </w:rPr>
          <w:t>TD717</w:t>
        </w:r>
      </w:hyperlink>
      <w:r w:rsidRPr="002C272D">
        <w:rPr>
          <w:rFonts w:cstheme="minorHAnsi"/>
          <w:szCs w:val="24"/>
          <w:lang w:eastAsia="zh-CN"/>
        </w:rPr>
        <w:tab/>
        <w:t>(TSB Director) “Food for thought on SG structure in preparation for WTSA-20”.</w:t>
      </w:r>
    </w:p>
    <w:p w14:paraId="4C77CED4" w14:textId="77777777" w:rsidR="00F8236B" w:rsidRPr="002C272D" w:rsidRDefault="00F8236B" w:rsidP="003D7BA3">
      <w:pPr>
        <w:spacing w:line="240" w:lineRule="auto"/>
        <w:ind w:left="1560" w:hanging="1560"/>
        <w:rPr>
          <w:rFonts w:cstheme="minorHAnsi"/>
          <w:szCs w:val="24"/>
          <w:lang w:eastAsia="zh-CN"/>
        </w:rPr>
      </w:pPr>
      <w:hyperlink r:id="rId50" w:history="1">
        <w:r w:rsidRPr="002C272D">
          <w:rPr>
            <w:rStyle w:val="Hyperlink"/>
            <w:rFonts w:asciiTheme="minorHAnsi" w:hAnsiTheme="minorHAnsi" w:cstheme="minorHAnsi"/>
            <w:szCs w:val="24"/>
            <w:lang w:eastAsia="zh-CN"/>
          </w:rPr>
          <w:t>TD730</w:t>
        </w:r>
      </w:hyperlink>
      <w:r w:rsidRPr="002C272D">
        <w:rPr>
          <w:rFonts w:cstheme="minorHAnsi"/>
          <w:szCs w:val="24"/>
          <w:lang w:eastAsia="zh-CN"/>
        </w:rPr>
        <w:tab/>
        <w:t>(TSB) “</w:t>
      </w:r>
      <w:r w:rsidRPr="002C272D">
        <w:rPr>
          <w:rFonts w:cstheme="minorHAnsi"/>
          <w:szCs w:val="24"/>
        </w:rPr>
        <w:t>TSAG restructuring principles (TSAG-R7, February 2016)”.</w:t>
      </w:r>
    </w:p>
    <w:p w14:paraId="2B467994" w14:textId="77777777" w:rsidR="00F8236B" w:rsidRPr="002C272D" w:rsidRDefault="00F8236B" w:rsidP="003D7BA3">
      <w:pPr>
        <w:spacing w:line="240" w:lineRule="auto"/>
        <w:ind w:left="1560" w:hanging="1560"/>
        <w:rPr>
          <w:rFonts w:cstheme="minorHAnsi"/>
          <w:szCs w:val="24"/>
          <w:lang w:eastAsia="zh-CN"/>
        </w:rPr>
      </w:pPr>
      <w:hyperlink r:id="rId51" w:history="1">
        <w:r w:rsidRPr="002C272D">
          <w:rPr>
            <w:rStyle w:val="Hyperlink"/>
            <w:rFonts w:asciiTheme="minorHAnsi" w:hAnsiTheme="minorHAnsi" w:cstheme="minorHAnsi"/>
            <w:szCs w:val="24"/>
            <w:lang w:eastAsia="zh-CN"/>
          </w:rPr>
          <w:t>C105</w:t>
        </w:r>
      </w:hyperlink>
      <w:r w:rsidRPr="002C272D">
        <w:rPr>
          <w:rStyle w:val="Hyperlink"/>
          <w:rFonts w:asciiTheme="minorHAnsi" w:hAnsiTheme="minorHAnsi" w:cstheme="minorHAnsi"/>
          <w:szCs w:val="24"/>
          <w:lang w:eastAsia="zh-CN"/>
        </w:rPr>
        <w:t>-R1</w:t>
      </w:r>
      <w:r w:rsidRPr="002C272D">
        <w:rPr>
          <w:rFonts w:cstheme="minorHAnsi"/>
          <w:szCs w:val="24"/>
          <w:lang w:eastAsia="zh-CN"/>
        </w:rPr>
        <w:tab/>
        <w:t>(China Information Communication Technologies Group, China Telecommunications Corporation, Huawei Technologies Co., Ltd. (China)) “ITU-T study groups re-structuring considerations for better links to industry verticals”.</w:t>
      </w:r>
    </w:p>
    <w:p w14:paraId="49B2DF15" w14:textId="77777777" w:rsidR="00F8236B" w:rsidRPr="002C272D" w:rsidRDefault="00F8236B" w:rsidP="003D7BA3">
      <w:pPr>
        <w:spacing w:line="240" w:lineRule="auto"/>
        <w:ind w:left="1560" w:hanging="1560"/>
        <w:rPr>
          <w:rFonts w:cstheme="minorHAnsi"/>
          <w:szCs w:val="24"/>
          <w:lang w:eastAsia="zh-CN"/>
        </w:rPr>
      </w:pPr>
      <w:hyperlink r:id="rId52" w:history="1">
        <w:r w:rsidRPr="002C272D">
          <w:rPr>
            <w:rStyle w:val="Hyperlink"/>
            <w:rFonts w:asciiTheme="minorHAnsi" w:hAnsiTheme="minorHAnsi" w:cstheme="minorHAnsi"/>
            <w:szCs w:val="24"/>
            <w:lang w:eastAsia="zh-CN"/>
          </w:rPr>
          <w:t>C110</w:t>
        </w:r>
      </w:hyperlink>
      <w:r w:rsidRPr="002C272D">
        <w:rPr>
          <w:rFonts w:cstheme="minorHAnsi"/>
          <w:szCs w:val="24"/>
          <w:lang w:eastAsia="zh-CN"/>
        </w:rPr>
        <w:tab/>
        <w:t>(</w:t>
      </w:r>
      <w:r w:rsidRPr="002C272D">
        <w:rPr>
          <w:rFonts w:cstheme="minorHAnsi"/>
          <w:szCs w:val="24"/>
        </w:rPr>
        <w:t>Canada</w:t>
      </w:r>
      <w:r w:rsidRPr="002C272D">
        <w:rPr>
          <w:rFonts w:cstheme="minorHAnsi"/>
          <w:szCs w:val="24"/>
          <w:lang w:eastAsia="zh-CN"/>
        </w:rPr>
        <w:t>) “Change or status quo: Some reflections for WTSA-20”.</w:t>
      </w:r>
    </w:p>
    <w:p w14:paraId="6E250AEF" w14:textId="77777777" w:rsidR="00F8236B" w:rsidRPr="002C272D" w:rsidRDefault="00F8236B" w:rsidP="003D7BA3">
      <w:pPr>
        <w:spacing w:line="240" w:lineRule="auto"/>
        <w:ind w:left="1560" w:hanging="1560"/>
        <w:rPr>
          <w:rFonts w:cstheme="minorHAnsi"/>
          <w:szCs w:val="24"/>
          <w:lang w:eastAsia="zh-CN"/>
        </w:rPr>
      </w:pPr>
      <w:hyperlink r:id="rId53" w:history="1">
        <w:r w:rsidRPr="002C272D">
          <w:rPr>
            <w:rStyle w:val="Hyperlink"/>
            <w:rFonts w:asciiTheme="minorHAnsi" w:hAnsiTheme="minorHAnsi" w:cstheme="minorHAnsi"/>
            <w:szCs w:val="24"/>
            <w:lang w:eastAsia="zh-CN"/>
          </w:rPr>
          <w:t>C119</w:t>
        </w:r>
      </w:hyperlink>
      <w:r w:rsidRPr="002C272D">
        <w:rPr>
          <w:rFonts w:cstheme="minorHAnsi"/>
          <w:szCs w:val="24"/>
          <w:lang w:eastAsia="zh-CN"/>
        </w:rPr>
        <w:tab/>
        <w:t>(China Telecommunications Corporation) “Viewpoints on SG restructuring for Next Study Period”.</w:t>
      </w:r>
    </w:p>
    <w:p w14:paraId="1E2158A7" w14:textId="77777777" w:rsidR="00F8236B" w:rsidRPr="002C272D" w:rsidRDefault="00F8236B" w:rsidP="003D7BA3">
      <w:pPr>
        <w:spacing w:line="240" w:lineRule="auto"/>
        <w:ind w:left="1560" w:hanging="1560"/>
        <w:rPr>
          <w:rFonts w:cstheme="minorHAnsi"/>
          <w:szCs w:val="24"/>
          <w:lang w:eastAsia="zh-CN"/>
        </w:rPr>
      </w:pPr>
      <w:hyperlink r:id="rId54" w:history="1">
        <w:r w:rsidRPr="002C272D">
          <w:rPr>
            <w:rStyle w:val="Hyperlink"/>
            <w:rFonts w:asciiTheme="minorHAnsi" w:hAnsiTheme="minorHAnsi" w:cstheme="minorHAnsi"/>
            <w:szCs w:val="24"/>
            <w:lang w:eastAsia="zh-CN"/>
          </w:rPr>
          <w:t>C120</w:t>
        </w:r>
      </w:hyperlink>
      <w:r w:rsidRPr="002C272D">
        <w:rPr>
          <w:rFonts w:cstheme="minorHAnsi"/>
          <w:szCs w:val="24"/>
          <w:lang w:eastAsia="zh-CN"/>
        </w:rPr>
        <w:tab/>
        <w:t xml:space="preserve">(China </w:t>
      </w:r>
      <w:r w:rsidRPr="002C272D">
        <w:rPr>
          <w:rFonts w:cstheme="minorHAnsi"/>
          <w:szCs w:val="24"/>
        </w:rPr>
        <w:t>Information</w:t>
      </w:r>
      <w:r w:rsidRPr="002C272D">
        <w:rPr>
          <w:rFonts w:cstheme="minorHAnsi"/>
          <w:szCs w:val="24"/>
          <w:lang w:eastAsia="zh-CN"/>
        </w:rPr>
        <w:t xml:space="preserve"> Communication Technologies Group, China Telecommunications Corporation, China Unicom, Ministry of </w:t>
      </w:r>
      <w:proofErr w:type="gramStart"/>
      <w:r w:rsidRPr="002C272D">
        <w:rPr>
          <w:rFonts w:cstheme="minorHAnsi"/>
          <w:szCs w:val="24"/>
          <w:lang w:eastAsia="zh-CN"/>
        </w:rPr>
        <w:t>Industry</w:t>
      </w:r>
      <w:proofErr w:type="gramEnd"/>
      <w:r w:rsidRPr="002C272D">
        <w:rPr>
          <w:rFonts w:cstheme="minorHAnsi"/>
          <w:szCs w:val="24"/>
          <w:lang w:eastAsia="zh-CN"/>
        </w:rPr>
        <w:t xml:space="preserve"> and Information Technology (MIIT) (China), ZTE Corporation (China)) “Considerations on Guiding Principles for ITU-T SGs Restructuring”.</w:t>
      </w:r>
    </w:p>
    <w:p w14:paraId="0052D2D1" w14:textId="77777777" w:rsidR="00F8236B" w:rsidRPr="002C272D" w:rsidRDefault="00F8236B" w:rsidP="003D7BA3">
      <w:pPr>
        <w:spacing w:line="240" w:lineRule="auto"/>
        <w:ind w:left="1560" w:hanging="1560"/>
        <w:rPr>
          <w:rFonts w:cstheme="minorHAnsi"/>
          <w:szCs w:val="24"/>
          <w:lang w:eastAsia="zh-CN"/>
        </w:rPr>
      </w:pPr>
      <w:hyperlink r:id="rId55" w:history="1">
        <w:r w:rsidRPr="002C272D">
          <w:rPr>
            <w:rStyle w:val="Hyperlink"/>
            <w:rFonts w:asciiTheme="minorHAnsi" w:hAnsiTheme="minorHAnsi" w:cstheme="minorHAnsi"/>
            <w:szCs w:val="24"/>
            <w:lang w:eastAsia="zh-CN"/>
          </w:rPr>
          <w:t>C121</w:t>
        </w:r>
      </w:hyperlink>
      <w:r w:rsidRPr="002C272D">
        <w:rPr>
          <w:rFonts w:cstheme="minorHAnsi"/>
          <w:szCs w:val="24"/>
          <w:lang w:eastAsia="zh-CN"/>
        </w:rPr>
        <w:tab/>
        <w:t>(</w:t>
      </w:r>
      <w:r w:rsidRPr="002C272D">
        <w:rPr>
          <w:rFonts w:cstheme="minorHAnsi"/>
          <w:szCs w:val="24"/>
        </w:rPr>
        <w:t>China</w:t>
      </w:r>
      <w:r w:rsidRPr="002C272D">
        <w:rPr>
          <w:rFonts w:cstheme="minorHAnsi"/>
          <w:szCs w:val="24"/>
          <w:lang w:eastAsia="zh-CN"/>
        </w:rPr>
        <w:t xml:space="preserve"> Information Communication Technologies Group, China Telecommunications Corporation, Huawei Technologies Co., Ltd. (China), Ministry of Industry and Information Technology (MIIT) (China)) “Strengthening the vitality of the study group itself is the key factor of the SGs restructuring”.</w:t>
      </w:r>
    </w:p>
    <w:p w14:paraId="046E4EBB" w14:textId="77777777" w:rsidR="00F8236B" w:rsidRPr="002C272D" w:rsidRDefault="00F8236B" w:rsidP="003D7BA3">
      <w:pPr>
        <w:spacing w:line="240" w:lineRule="auto"/>
        <w:ind w:left="1560" w:hanging="1560"/>
        <w:rPr>
          <w:rFonts w:cstheme="minorHAnsi"/>
          <w:szCs w:val="24"/>
          <w:lang w:eastAsia="zh-CN"/>
        </w:rPr>
      </w:pPr>
      <w:hyperlink r:id="rId56" w:history="1">
        <w:r w:rsidRPr="002C272D">
          <w:rPr>
            <w:rStyle w:val="Hyperlink"/>
            <w:rFonts w:asciiTheme="minorHAnsi" w:hAnsiTheme="minorHAnsi" w:cstheme="minorHAnsi"/>
            <w:szCs w:val="24"/>
            <w:lang w:eastAsia="zh-CN"/>
          </w:rPr>
          <w:t>C125</w:t>
        </w:r>
      </w:hyperlink>
      <w:r w:rsidRPr="002C272D">
        <w:rPr>
          <w:rFonts w:cstheme="minorHAnsi"/>
          <w:szCs w:val="24"/>
          <w:lang w:eastAsia="zh-CN"/>
        </w:rPr>
        <w:tab/>
        <w:t>(</w:t>
      </w:r>
      <w:r w:rsidRPr="002C272D">
        <w:rPr>
          <w:rFonts w:cstheme="minorHAnsi"/>
          <w:szCs w:val="24"/>
        </w:rPr>
        <w:t>Russian</w:t>
      </w:r>
      <w:r w:rsidRPr="002C272D">
        <w:rPr>
          <w:rFonts w:cstheme="minorHAnsi"/>
          <w:szCs w:val="24"/>
          <w:lang w:eastAsia="zh-CN"/>
        </w:rPr>
        <w:t xml:space="preserve"> Federation) “Preliminary remarks to the TSB Director’s proposal on the structure of the ITU-T Study Groups for the study period 2021-2024”.</w:t>
      </w:r>
    </w:p>
    <w:p w14:paraId="16CF1542" w14:textId="77777777" w:rsidR="00F8236B" w:rsidRPr="002C272D" w:rsidRDefault="00F8236B" w:rsidP="003D7BA3">
      <w:pPr>
        <w:spacing w:line="240" w:lineRule="auto"/>
        <w:ind w:left="1560" w:hanging="1560"/>
        <w:rPr>
          <w:rFonts w:cstheme="minorHAnsi"/>
          <w:szCs w:val="24"/>
          <w:lang w:eastAsia="zh-CN"/>
        </w:rPr>
      </w:pPr>
      <w:hyperlink r:id="rId57" w:history="1">
        <w:r w:rsidRPr="002C272D">
          <w:rPr>
            <w:rStyle w:val="Hyperlink"/>
            <w:rFonts w:asciiTheme="minorHAnsi" w:hAnsiTheme="minorHAnsi" w:cstheme="minorHAnsi"/>
            <w:szCs w:val="24"/>
            <w:lang w:eastAsia="zh-CN"/>
          </w:rPr>
          <w:t>C129</w:t>
        </w:r>
      </w:hyperlink>
      <w:r w:rsidRPr="002C272D">
        <w:rPr>
          <w:rFonts w:cstheme="minorHAnsi"/>
          <w:szCs w:val="24"/>
          <w:lang w:eastAsia="zh-CN"/>
        </w:rPr>
        <w:tab/>
        <w:t>(</w:t>
      </w:r>
      <w:r w:rsidRPr="002C272D">
        <w:rPr>
          <w:rFonts w:cstheme="minorHAnsi"/>
          <w:szCs w:val="24"/>
        </w:rPr>
        <w:t>Broadcom</w:t>
      </w:r>
      <w:r w:rsidRPr="002C272D">
        <w:rPr>
          <w:rFonts w:cstheme="minorHAnsi"/>
          <w:szCs w:val="24"/>
          <w:lang w:eastAsia="zh-CN"/>
        </w:rPr>
        <w:t xml:space="preserve"> Corporation (United States)) “Broadcom Inc. feedback to the TSB Director “Food for thought on SG structure in preparation for WTSA-20” and proposals for ITU-T members”.</w:t>
      </w:r>
    </w:p>
    <w:p w14:paraId="216F451A" w14:textId="77777777" w:rsidR="00F8236B" w:rsidRPr="00BE0454" w:rsidRDefault="00F8236B" w:rsidP="003D7BA3">
      <w:pPr>
        <w:spacing w:line="240" w:lineRule="auto"/>
        <w:ind w:left="1560" w:hanging="1560"/>
        <w:rPr>
          <w:rFonts w:cstheme="minorHAnsi"/>
          <w:szCs w:val="24"/>
          <w:lang w:eastAsia="zh-CN"/>
        </w:rPr>
      </w:pPr>
      <w:hyperlink r:id="rId58" w:history="1">
        <w:r w:rsidRPr="002C272D">
          <w:rPr>
            <w:rStyle w:val="Hyperlink"/>
            <w:rFonts w:asciiTheme="minorHAnsi" w:hAnsiTheme="minorHAnsi" w:cstheme="minorHAnsi"/>
            <w:szCs w:val="24"/>
            <w:lang w:eastAsia="zh-CN"/>
          </w:rPr>
          <w:t>C134</w:t>
        </w:r>
      </w:hyperlink>
      <w:r w:rsidRPr="002C272D">
        <w:rPr>
          <w:rFonts w:cstheme="minorHAnsi"/>
          <w:szCs w:val="24"/>
          <w:lang w:eastAsia="zh-CN"/>
        </w:rPr>
        <w:tab/>
        <w:t>(</w:t>
      </w:r>
      <w:r w:rsidRPr="002C272D">
        <w:rPr>
          <w:rFonts w:cstheme="minorHAnsi"/>
          <w:szCs w:val="24"/>
        </w:rPr>
        <w:t>India</w:t>
      </w:r>
      <w:r w:rsidRPr="002C272D">
        <w:rPr>
          <w:rFonts w:cstheme="minorHAnsi"/>
          <w:szCs w:val="24"/>
          <w:lang w:eastAsia="zh-CN"/>
        </w:rPr>
        <w:t>) “India's views on ITU-T Study Group Restructuring”.</w:t>
      </w:r>
    </w:p>
    <w:p w14:paraId="44BACBFA" w14:textId="77777777" w:rsidR="00F8236B" w:rsidRPr="002C272D" w:rsidRDefault="00F8236B" w:rsidP="003D7BA3">
      <w:pPr>
        <w:spacing w:line="240" w:lineRule="auto"/>
        <w:ind w:left="1560" w:hanging="1560"/>
        <w:rPr>
          <w:rFonts w:cstheme="minorHAnsi"/>
          <w:szCs w:val="24"/>
        </w:rPr>
      </w:pPr>
      <w:hyperlink r:id="rId59" w:history="1">
        <w:r w:rsidRPr="002C272D">
          <w:rPr>
            <w:rStyle w:val="Hyperlink"/>
            <w:rFonts w:asciiTheme="minorHAnsi" w:hAnsiTheme="minorHAnsi" w:cstheme="minorHAnsi"/>
            <w:szCs w:val="24"/>
          </w:rPr>
          <w:t>RGWP-C4(200805)</w:t>
        </w:r>
      </w:hyperlink>
      <w:r w:rsidRPr="002C272D">
        <w:rPr>
          <w:rFonts w:cstheme="minorHAnsi"/>
          <w:szCs w:val="24"/>
        </w:rPr>
        <w:tab/>
        <w:t>(China) “China’s Proposal for SG Restructuring Principles to Enhance the Implementation of Seven High-level Principles”</w:t>
      </w:r>
    </w:p>
    <w:p w14:paraId="4D3009A1" w14:textId="77777777" w:rsidR="00F8236B" w:rsidRPr="002C272D" w:rsidRDefault="00F8236B" w:rsidP="003D7BA3">
      <w:pPr>
        <w:spacing w:line="240" w:lineRule="auto"/>
        <w:ind w:left="1560" w:hanging="1560"/>
        <w:rPr>
          <w:rFonts w:cstheme="minorHAnsi"/>
          <w:szCs w:val="24"/>
        </w:rPr>
      </w:pPr>
      <w:hyperlink r:id="rId60" w:history="1">
        <w:r w:rsidRPr="002C272D">
          <w:rPr>
            <w:rStyle w:val="Hyperlink"/>
            <w:rFonts w:asciiTheme="minorHAnsi" w:hAnsiTheme="minorHAnsi" w:cstheme="minorHAnsi"/>
            <w:szCs w:val="24"/>
          </w:rPr>
          <w:t>C155</w:t>
        </w:r>
      </w:hyperlink>
      <w:r w:rsidRPr="002C272D">
        <w:rPr>
          <w:rFonts w:cstheme="minorHAnsi"/>
          <w:szCs w:val="24"/>
        </w:rPr>
        <w:tab/>
        <w:t>(Broadcom) “Considerations for new structure vs industry return on investment”</w:t>
      </w:r>
    </w:p>
    <w:p w14:paraId="46EE3284" w14:textId="77777777" w:rsidR="00F8236B" w:rsidRPr="002C272D" w:rsidRDefault="00F8236B" w:rsidP="003D7BA3">
      <w:pPr>
        <w:spacing w:line="240" w:lineRule="auto"/>
        <w:ind w:left="1560" w:hanging="1560"/>
        <w:rPr>
          <w:rFonts w:cstheme="minorHAnsi"/>
          <w:szCs w:val="24"/>
        </w:rPr>
      </w:pPr>
      <w:hyperlink r:id="rId61" w:history="1">
        <w:r w:rsidRPr="002C272D">
          <w:rPr>
            <w:rStyle w:val="Hyperlink"/>
            <w:rFonts w:asciiTheme="minorHAnsi" w:hAnsiTheme="minorHAnsi" w:cstheme="minorHAnsi"/>
            <w:szCs w:val="24"/>
          </w:rPr>
          <w:t>RGWP-C1(201208)</w:t>
        </w:r>
      </w:hyperlink>
      <w:r w:rsidRPr="002C272D">
        <w:rPr>
          <w:rStyle w:val="Hyperlink"/>
          <w:rFonts w:asciiTheme="minorHAnsi" w:hAnsiTheme="minorHAnsi" w:cstheme="minorHAnsi"/>
          <w:szCs w:val="24"/>
        </w:rPr>
        <w:tab/>
        <w:t>(United Kingdom; Austria; Czech Republic; Finland; France; Germany; Romania; Netherlands) “WTSA-20: ITU-T Study Group Restructuring”</w:t>
      </w:r>
    </w:p>
    <w:p w14:paraId="3B14C14E" w14:textId="77777777" w:rsidR="00F8236B" w:rsidRPr="002C272D" w:rsidRDefault="00F8236B" w:rsidP="003D7BA3">
      <w:pPr>
        <w:spacing w:line="240" w:lineRule="auto"/>
        <w:ind w:left="1560" w:hanging="1560"/>
        <w:rPr>
          <w:rFonts w:cstheme="minorHAnsi"/>
          <w:szCs w:val="24"/>
        </w:rPr>
      </w:pPr>
      <w:hyperlink r:id="rId62" w:history="1">
        <w:r w:rsidRPr="002C272D">
          <w:rPr>
            <w:rStyle w:val="Hyperlink"/>
            <w:rFonts w:asciiTheme="minorHAnsi" w:hAnsiTheme="minorHAnsi" w:cstheme="minorHAnsi"/>
            <w:szCs w:val="24"/>
          </w:rPr>
          <w:t>RGWP-C2(201208)</w:t>
        </w:r>
      </w:hyperlink>
      <w:r w:rsidRPr="002C272D">
        <w:rPr>
          <w:rFonts w:cstheme="minorHAnsi"/>
          <w:szCs w:val="24"/>
        </w:rPr>
        <w:tab/>
        <w:t>(APT) “APT VIEW FOR ITU-T SG RESTRUCTURING PRINCIPLES”</w:t>
      </w:r>
    </w:p>
    <w:p w14:paraId="26488E87" w14:textId="77777777" w:rsidR="00F8236B" w:rsidRPr="002C272D" w:rsidRDefault="00F8236B" w:rsidP="003D7BA3">
      <w:pPr>
        <w:spacing w:line="240" w:lineRule="auto"/>
        <w:rPr>
          <w:rFonts w:cstheme="minorHAnsi"/>
          <w:szCs w:val="24"/>
        </w:rPr>
      </w:pPr>
      <w:r w:rsidRPr="002C272D">
        <w:rPr>
          <w:rFonts w:cstheme="minorHAnsi"/>
          <w:szCs w:val="24"/>
        </w:rPr>
        <w:br w:type="page"/>
      </w:r>
    </w:p>
    <w:p w14:paraId="48908591" w14:textId="77777777" w:rsidR="00F8236B" w:rsidRPr="002C272D" w:rsidRDefault="00F8236B" w:rsidP="003D7BA3">
      <w:pPr>
        <w:pStyle w:val="Heading1"/>
        <w:rPr>
          <w:sz w:val="24"/>
          <w:szCs w:val="24"/>
        </w:rPr>
      </w:pPr>
      <w:r w:rsidRPr="002C272D">
        <w:rPr>
          <w:sz w:val="24"/>
          <w:szCs w:val="24"/>
        </w:rPr>
        <w:lastRenderedPageBreak/>
        <w:t xml:space="preserve">Annex 3 Proposed Structures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5"/>
        <w:gridCol w:w="4565"/>
        <w:gridCol w:w="1560"/>
        <w:gridCol w:w="2509"/>
      </w:tblGrid>
      <w:tr w:rsidR="00F8236B" w:rsidRPr="002C272D" w14:paraId="67BC6E2D" w14:textId="77777777" w:rsidTr="009617B8">
        <w:trPr>
          <w:tblHeader/>
          <w:jc w:val="center"/>
        </w:trPr>
        <w:tc>
          <w:tcPr>
            <w:tcW w:w="975" w:type="dxa"/>
            <w:tcBorders>
              <w:top w:val="single" w:sz="12" w:space="0" w:color="auto"/>
              <w:left w:val="single" w:sz="12" w:space="0" w:color="auto"/>
              <w:bottom w:val="single" w:sz="12" w:space="0" w:color="auto"/>
              <w:right w:val="single" w:sz="4" w:space="0" w:color="auto"/>
            </w:tcBorders>
            <w:hideMark/>
          </w:tcPr>
          <w:p w14:paraId="6B60F22D" w14:textId="77777777"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rPr>
              <w:br w:type="page"/>
            </w:r>
            <w:r w:rsidRPr="002C272D">
              <w:rPr>
                <w:rFonts w:asciiTheme="minorHAnsi" w:hAnsiTheme="minorHAnsi" w:cstheme="minorHAnsi"/>
                <w:sz w:val="24"/>
                <w:szCs w:val="24"/>
                <w:lang w:val="en-US"/>
              </w:rPr>
              <w:t>Group</w:t>
            </w:r>
          </w:p>
        </w:tc>
        <w:tc>
          <w:tcPr>
            <w:tcW w:w="4565" w:type="dxa"/>
            <w:tcBorders>
              <w:top w:val="single" w:sz="12" w:space="0" w:color="auto"/>
              <w:left w:val="single" w:sz="4" w:space="0" w:color="auto"/>
              <w:bottom w:val="single" w:sz="12" w:space="0" w:color="auto"/>
              <w:right w:val="single" w:sz="4" w:space="0" w:color="auto"/>
            </w:tcBorders>
            <w:hideMark/>
          </w:tcPr>
          <w:p w14:paraId="013794C6" w14:textId="77777777"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lang w:val="en-US"/>
              </w:rPr>
              <w:t>Proposal</w:t>
            </w:r>
          </w:p>
        </w:tc>
        <w:tc>
          <w:tcPr>
            <w:tcW w:w="1560" w:type="dxa"/>
            <w:tcBorders>
              <w:top w:val="single" w:sz="12" w:space="0" w:color="auto"/>
              <w:left w:val="single" w:sz="4" w:space="0" w:color="auto"/>
              <w:bottom w:val="single" w:sz="12" w:space="0" w:color="auto"/>
              <w:right w:val="single" w:sz="4" w:space="0" w:color="auto"/>
            </w:tcBorders>
            <w:hideMark/>
          </w:tcPr>
          <w:p w14:paraId="4C531D1C" w14:textId="77777777"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lang w:val="en-US"/>
              </w:rPr>
              <w:t>Destination</w:t>
            </w:r>
          </w:p>
        </w:tc>
        <w:tc>
          <w:tcPr>
            <w:tcW w:w="2509" w:type="dxa"/>
            <w:tcBorders>
              <w:top w:val="single" w:sz="12" w:space="0" w:color="auto"/>
              <w:left w:val="single" w:sz="4" w:space="0" w:color="auto"/>
              <w:bottom w:val="single" w:sz="12" w:space="0" w:color="auto"/>
              <w:right w:val="single" w:sz="12" w:space="0" w:color="auto"/>
            </w:tcBorders>
            <w:hideMark/>
          </w:tcPr>
          <w:p w14:paraId="2B90A952" w14:textId="77777777"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lang w:val="en-US"/>
              </w:rPr>
              <w:t>Support</w:t>
            </w:r>
          </w:p>
        </w:tc>
      </w:tr>
      <w:tr w:rsidR="00F8236B" w:rsidRPr="002C272D" w14:paraId="26BFEFF6"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42DBA7D0"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SG2</w:t>
            </w:r>
          </w:p>
        </w:tc>
        <w:tc>
          <w:tcPr>
            <w:tcW w:w="4565" w:type="dxa"/>
            <w:tcBorders>
              <w:top w:val="single" w:sz="4" w:space="0" w:color="auto"/>
              <w:left w:val="single" w:sz="4" w:space="0" w:color="auto"/>
              <w:bottom w:val="single" w:sz="4" w:space="0" w:color="auto"/>
              <w:right w:val="single" w:sz="4" w:space="0" w:color="auto"/>
            </w:tcBorders>
            <w:hideMark/>
          </w:tcPr>
          <w:p w14:paraId="7FC1ACE0"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14:paraId="4412172B"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050FA7F6" w14:textId="77777777" w:rsidR="00F8236B" w:rsidRPr="002C272D" w:rsidRDefault="00F8236B">
            <w:pPr>
              <w:pStyle w:val="Tabletext"/>
              <w:rPr>
                <w:rFonts w:asciiTheme="minorHAnsi" w:hAnsiTheme="minorHAnsi" w:cstheme="minorHAnsi"/>
                <w:sz w:val="24"/>
                <w:szCs w:val="24"/>
                <w:lang w:val="en-US"/>
              </w:rPr>
            </w:pPr>
            <w:hyperlink r:id="rId63" w:history="1">
              <w:r w:rsidRPr="002C272D">
                <w:rPr>
                  <w:rStyle w:val="Hyperlink"/>
                  <w:rFonts w:asciiTheme="minorHAnsi" w:hAnsiTheme="minorHAnsi" w:cstheme="minorHAnsi"/>
                  <w:sz w:val="24"/>
                  <w:szCs w:val="24"/>
                  <w:lang w:val="en-US"/>
                </w:rPr>
                <w:t>С125</w:t>
              </w:r>
            </w:hyperlink>
            <w:r w:rsidRPr="002C272D">
              <w:rPr>
                <w:rFonts w:asciiTheme="minorHAnsi" w:hAnsiTheme="minorHAnsi" w:cstheme="minorHAnsi"/>
                <w:sz w:val="24"/>
                <w:szCs w:val="24"/>
                <w:lang w:val="en-US"/>
              </w:rPr>
              <w:t xml:space="preserve"> (Russia)</w:t>
            </w:r>
          </w:p>
          <w:p w14:paraId="44AB4BF4" w14:textId="77777777" w:rsidR="00F8236B" w:rsidRPr="002C272D" w:rsidRDefault="00F8236B">
            <w:pPr>
              <w:pStyle w:val="Tabletext"/>
              <w:rPr>
                <w:rFonts w:asciiTheme="minorHAnsi" w:hAnsiTheme="minorHAnsi" w:cstheme="minorHAnsi"/>
                <w:sz w:val="24"/>
                <w:szCs w:val="24"/>
                <w:lang w:val="en-US"/>
              </w:rPr>
            </w:pPr>
            <w:hyperlink r:id="rId64"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7A8DA355" w14:textId="77777777" w:rsidR="00F8236B" w:rsidRPr="002C272D" w:rsidRDefault="00F8236B">
            <w:pPr>
              <w:pStyle w:val="Tabletext"/>
              <w:rPr>
                <w:rFonts w:asciiTheme="minorHAnsi" w:hAnsiTheme="minorHAnsi" w:cstheme="minorHAnsi"/>
                <w:sz w:val="24"/>
                <w:szCs w:val="24"/>
                <w:lang w:val="en-US"/>
              </w:rPr>
            </w:pPr>
            <w:hyperlink r:id="rId65"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619DF898"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C65826A"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D48F260"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02872CDD"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16D0C18D"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6C607D64"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456BCCF"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E95FFA8"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(NNAR &amp; Service Provision) into new SG(d)IV (SG2+SG3)</w:t>
            </w:r>
          </w:p>
        </w:tc>
        <w:tc>
          <w:tcPr>
            <w:tcW w:w="1560" w:type="dxa"/>
            <w:tcBorders>
              <w:top w:val="single" w:sz="4" w:space="0" w:color="auto"/>
              <w:left w:val="single" w:sz="4" w:space="0" w:color="auto"/>
              <w:bottom w:val="single" w:sz="4" w:space="0" w:color="auto"/>
              <w:right w:val="single" w:sz="4" w:space="0" w:color="auto"/>
            </w:tcBorders>
            <w:hideMark/>
          </w:tcPr>
          <w:p w14:paraId="2B7D9B30"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SG(d)IV</w:t>
            </w:r>
          </w:p>
        </w:tc>
        <w:tc>
          <w:tcPr>
            <w:tcW w:w="2509" w:type="dxa"/>
            <w:tcBorders>
              <w:top w:val="single" w:sz="4" w:space="0" w:color="auto"/>
              <w:left w:val="single" w:sz="4" w:space="0" w:color="auto"/>
              <w:bottom w:val="single" w:sz="4" w:space="0" w:color="auto"/>
              <w:right w:val="single" w:sz="12" w:space="0" w:color="auto"/>
            </w:tcBorders>
            <w:hideMark/>
          </w:tcPr>
          <w:p w14:paraId="0CB73B09" w14:textId="77777777" w:rsidR="00F8236B" w:rsidRPr="002C272D" w:rsidRDefault="00F8236B">
            <w:pPr>
              <w:pStyle w:val="Tabletext"/>
              <w:rPr>
                <w:rFonts w:asciiTheme="minorHAnsi" w:hAnsiTheme="minorHAnsi" w:cstheme="minorHAnsi"/>
                <w:sz w:val="24"/>
                <w:szCs w:val="24"/>
                <w:lang w:val="en-US"/>
              </w:rPr>
            </w:pPr>
            <w:hyperlink r:id="rId66"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 </w:t>
            </w:r>
          </w:p>
        </w:tc>
      </w:tr>
      <w:tr w:rsidR="00F8236B" w:rsidRPr="002C272D" w14:paraId="612A88C5"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CB75D37"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17FD26F"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m2) Move all SG2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*)A</w:t>
            </w:r>
          </w:p>
        </w:tc>
        <w:tc>
          <w:tcPr>
            <w:tcW w:w="1560" w:type="dxa"/>
            <w:tcBorders>
              <w:top w:val="single" w:sz="4" w:space="0" w:color="auto"/>
              <w:left w:val="single" w:sz="4" w:space="0" w:color="auto"/>
              <w:bottom w:val="single" w:sz="4" w:space="0" w:color="auto"/>
              <w:right w:val="single" w:sz="4" w:space="0" w:color="auto"/>
            </w:tcBorders>
            <w:hideMark/>
          </w:tcPr>
          <w:p w14:paraId="0FB8C2CB"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*)A</w:t>
            </w:r>
          </w:p>
        </w:tc>
        <w:tc>
          <w:tcPr>
            <w:tcW w:w="2509" w:type="dxa"/>
            <w:tcBorders>
              <w:top w:val="single" w:sz="4" w:space="0" w:color="auto"/>
              <w:left w:val="single" w:sz="4" w:space="0" w:color="auto"/>
              <w:bottom w:val="single" w:sz="4" w:space="0" w:color="auto"/>
              <w:right w:val="single" w:sz="12" w:space="0" w:color="auto"/>
            </w:tcBorders>
            <w:hideMark/>
          </w:tcPr>
          <w:p w14:paraId="3E15B0C0" w14:textId="77777777" w:rsidR="00F8236B" w:rsidRPr="002C272D" w:rsidRDefault="00F8236B">
            <w:pPr>
              <w:pStyle w:val="Tabletext"/>
              <w:rPr>
                <w:rFonts w:asciiTheme="minorHAnsi" w:hAnsiTheme="minorHAnsi" w:cstheme="minorHAnsi"/>
                <w:sz w:val="24"/>
                <w:szCs w:val="24"/>
                <w:lang w:val="en-US"/>
              </w:rPr>
            </w:pPr>
            <w:hyperlink r:id="rId67"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4680DF2F"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7CDD14C"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DE32161"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Merge SG2+SG3</w:t>
            </w:r>
          </w:p>
        </w:tc>
        <w:tc>
          <w:tcPr>
            <w:tcW w:w="1560" w:type="dxa"/>
            <w:tcBorders>
              <w:top w:val="single" w:sz="4" w:space="0" w:color="auto"/>
              <w:left w:val="single" w:sz="4" w:space="0" w:color="auto"/>
              <w:bottom w:val="single" w:sz="4" w:space="0" w:color="auto"/>
              <w:right w:val="single" w:sz="4" w:space="0" w:color="auto"/>
            </w:tcBorders>
          </w:tcPr>
          <w:p w14:paraId="3D847F19"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1F0CBB79" w14:textId="77777777" w:rsidR="00F8236B" w:rsidRPr="002C272D" w:rsidRDefault="00F8236B">
            <w:pPr>
              <w:pStyle w:val="Tabletext"/>
              <w:rPr>
                <w:rFonts w:asciiTheme="minorHAnsi" w:hAnsiTheme="minorHAnsi" w:cstheme="minorHAnsi"/>
                <w:sz w:val="24"/>
                <w:szCs w:val="24"/>
                <w:lang w:val="en-US"/>
              </w:rPr>
            </w:pPr>
            <w:hyperlink r:id="rId68" w:history="1">
              <w:r w:rsidRPr="002C272D">
                <w:rPr>
                  <w:rStyle w:val="Hyperlink"/>
                  <w:rFonts w:asciiTheme="minorHAnsi" w:hAnsiTheme="minorHAnsi" w:cstheme="minorHAnsi"/>
                  <w:sz w:val="24"/>
                  <w:szCs w:val="24"/>
                  <w:lang w:val="en-US"/>
                </w:rPr>
                <w:t>RGWP-C1</w:t>
              </w:r>
            </w:hyperlink>
            <w:r w:rsidRPr="002C272D">
              <w:rPr>
                <w:rFonts w:asciiTheme="minorHAnsi" w:hAnsiTheme="minorHAnsi" w:cstheme="minorHAnsi"/>
                <w:sz w:val="24"/>
                <w:szCs w:val="24"/>
                <w:lang w:val="en-US"/>
              </w:rPr>
              <w:t xml:space="preserve"> (Mexico)</w:t>
            </w:r>
          </w:p>
        </w:tc>
      </w:tr>
      <w:tr w:rsidR="00F8236B" w:rsidRPr="002C272D" w14:paraId="5BE0A15D"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8FED9D3"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3F765FE"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m4) Move all SG2 into new gamma</w:t>
            </w:r>
          </w:p>
        </w:tc>
        <w:tc>
          <w:tcPr>
            <w:tcW w:w="1560" w:type="dxa"/>
            <w:tcBorders>
              <w:top w:val="single" w:sz="4" w:space="0" w:color="auto"/>
              <w:left w:val="single" w:sz="4" w:space="0" w:color="auto"/>
              <w:bottom w:val="single" w:sz="4" w:space="0" w:color="auto"/>
              <w:right w:val="single" w:sz="4" w:space="0" w:color="auto"/>
            </w:tcBorders>
            <w:hideMark/>
          </w:tcPr>
          <w:p w14:paraId="0510A229"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gamma</w:t>
            </w:r>
          </w:p>
        </w:tc>
        <w:tc>
          <w:tcPr>
            <w:tcW w:w="2509" w:type="dxa"/>
            <w:tcBorders>
              <w:top w:val="single" w:sz="4" w:space="0" w:color="auto"/>
              <w:left w:val="single" w:sz="4" w:space="0" w:color="auto"/>
              <w:bottom w:val="single" w:sz="4" w:space="0" w:color="auto"/>
              <w:right w:val="single" w:sz="12" w:space="0" w:color="auto"/>
            </w:tcBorders>
            <w:hideMark/>
          </w:tcPr>
          <w:p w14:paraId="6A29AD0C" w14:textId="77777777" w:rsidR="00F8236B" w:rsidRPr="002C272D" w:rsidRDefault="00F8236B">
            <w:pPr>
              <w:pStyle w:val="Tabletext"/>
              <w:rPr>
                <w:rFonts w:asciiTheme="minorHAnsi" w:hAnsiTheme="minorHAnsi" w:cstheme="minorHAnsi"/>
                <w:sz w:val="24"/>
                <w:szCs w:val="24"/>
                <w:lang w:val="en-US"/>
              </w:rPr>
            </w:pPr>
            <w:hyperlink r:id="rId69"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276C588F"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39B5E3A"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A7AB110"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m5) Move all SG2 into SG2</w:t>
            </w:r>
          </w:p>
        </w:tc>
        <w:tc>
          <w:tcPr>
            <w:tcW w:w="1560" w:type="dxa"/>
            <w:tcBorders>
              <w:top w:val="single" w:sz="4" w:space="0" w:color="auto"/>
              <w:left w:val="single" w:sz="4" w:space="0" w:color="auto"/>
              <w:bottom w:val="single" w:sz="4" w:space="0" w:color="auto"/>
              <w:right w:val="single" w:sz="4" w:space="0" w:color="auto"/>
            </w:tcBorders>
            <w:hideMark/>
          </w:tcPr>
          <w:p w14:paraId="1FE76C0F"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SG2</w:t>
            </w:r>
          </w:p>
        </w:tc>
        <w:tc>
          <w:tcPr>
            <w:tcW w:w="2509" w:type="dxa"/>
            <w:tcBorders>
              <w:top w:val="single" w:sz="4" w:space="0" w:color="auto"/>
              <w:left w:val="single" w:sz="4" w:space="0" w:color="auto"/>
              <w:bottom w:val="single" w:sz="4" w:space="0" w:color="auto"/>
              <w:right w:val="single" w:sz="12" w:space="0" w:color="auto"/>
            </w:tcBorders>
            <w:hideMark/>
          </w:tcPr>
          <w:p w14:paraId="0C294C9A" w14:textId="77777777" w:rsidR="00F8236B" w:rsidRPr="002C272D" w:rsidRDefault="00F8236B">
            <w:pPr>
              <w:pStyle w:val="Tabletext"/>
              <w:rPr>
                <w:rFonts w:asciiTheme="minorHAnsi" w:hAnsiTheme="minorHAnsi" w:cstheme="minorHAnsi"/>
                <w:sz w:val="24"/>
                <w:szCs w:val="24"/>
                <w:lang w:val="en-US"/>
              </w:rPr>
            </w:pPr>
            <w:hyperlink r:id="rId70"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tc>
      </w:tr>
      <w:tr w:rsidR="00F8236B" w:rsidRPr="002C272D" w14:paraId="76A5E2ED"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28E2AAA"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3075E87"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bCs/>
                <w:sz w:val="24"/>
                <w:szCs w:val="24"/>
                <w:lang w:val="en-US"/>
              </w:rPr>
              <w:t xml:space="preserve">Transfer: </w:t>
            </w:r>
          </w:p>
        </w:tc>
        <w:tc>
          <w:tcPr>
            <w:tcW w:w="1560" w:type="dxa"/>
            <w:tcBorders>
              <w:top w:val="single" w:sz="4" w:space="0" w:color="auto"/>
              <w:left w:val="single" w:sz="4" w:space="0" w:color="auto"/>
              <w:bottom w:val="single" w:sz="4" w:space="0" w:color="auto"/>
              <w:right w:val="single" w:sz="4" w:space="0" w:color="auto"/>
            </w:tcBorders>
          </w:tcPr>
          <w:p w14:paraId="6CC21F4F"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6E38085E"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5EB80623"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4FF83C6"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96F2F80"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97E22E8"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270DFD38"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23677DC7"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4D060C7"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91D99FE"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FA98E19"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06BD3358"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58D0A667"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45107B8"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43A2022C"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393A3424"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08EF20F9"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3F87DD2E"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78CB53A"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4C115CEB"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51267DF5"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4CBB10FF"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61B63B54"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5A3CFFAE"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SG3</w:t>
            </w:r>
          </w:p>
        </w:tc>
        <w:tc>
          <w:tcPr>
            <w:tcW w:w="4565" w:type="dxa"/>
            <w:tcBorders>
              <w:top w:val="single" w:sz="4" w:space="0" w:color="auto"/>
              <w:left w:val="single" w:sz="4" w:space="0" w:color="auto"/>
              <w:bottom w:val="single" w:sz="4" w:space="0" w:color="auto"/>
              <w:right w:val="single" w:sz="4" w:space="0" w:color="auto"/>
            </w:tcBorders>
            <w:hideMark/>
          </w:tcPr>
          <w:p w14:paraId="7129AB79"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hideMark/>
          </w:tcPr>
          <w:p w14:paraId="66A4250F"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Beta</w:t>
            </w:r>
          </w:p>
          <w:p w14:paraId="422EA410"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1258DE12" w14:textId="77777777" w:rsidR="00F8236B" w:rsidRPr="002C272D" w:rsidRDefault="00F8236B">
            <w:pPr>
              <w:pStyle w:val="Tabletext"/>
              <w:rPr>
                <w:rFonts w:asciiTheme="minorHAnsi" w:hAnsiTheme="minorHAnsi" w:cstheme="minorHAnsi"/>
                <w:sz w:val="24"/>
                <w:szCs w:val="24"/>
                <w:lang w:val="en-US"/>
              </w:rPr>
            </w:pPr>
            <w:hyperlink r:id="rId71"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 (except for Q8/3)</w:t>
            </w:r>
          </w:p>
          <w:p w14:paraId="764C0D5C" w14:textId="77777777" w:rsidR="00F8236B" w:rsidRPr="002C272D" w:rsidRDefault="00F8236B">
            <w:pPr>
              <w:pStyle w:val="Tabletext"/>
              <w:rPr>
                <w:rStyle w:val="Hyperlink"/>
                <w:rFonts w:asciiTheme="minorHAnsi" w:hAnsiTheme="minorHAnsi" w:cstheme="minorHAnsi"/>
                <w:sz w:val="24"/>
                <w:szCs w:val="24"/>
              </w:rPr>
            </w:pPr>
            <w:hyperlink r:id="rId72" w:history="1">
              <w:r w:rsidRPr="002C272D">
                <w:rPr>
                  <w:rStyle w:val="Hyperlink"/>
                  <w:rFonts w:asciiTheme="minorHAnsi" w:hAnsiTheme="minorHAnsi" w:cstheme="minorHAnsi"/>
                  <w:sz w:val="24"/>
                  <w:szCs w:val="24"/>
                  <w:lang w:val="en-US"/>
                </w:rPr>
                <w:t>RGWP-C5 (China)</w:t>
              </w:r>
            </w:hyperlink>
          </w:p>
          <w:p w14:paraId="5EA984CC" w14:textId="77777777" w:rsidR="00F8236B" w:rsidRPr="002C272D" w:rsidRDefault="00F8236B">
            <w:pPr>
              <w:pStyle w:val="Tabletext"/>
              <w:rPr>
                <w:rFonts w:asciiTheme="minorHAnsi" w:hAnsiTheme="minorHAnsi" w:cstheme="minorHAnsi"/>
                <w:sz w:val="24"/>
                <w:szCs w:val="24"/>
              </w:rPr>
            </w:pPr>
            <w:hyperlink r:id="rId73"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p w14:paraId="2858620C" w14:textId="77777777" w:rsidR="00F8236B" w:rsidRPr="002C272D" w:rsidRDefault="00F8236B">
            <w:pPr>
              <w:pStyle w:val="Tabletext"/>
              <w:rPr>
                <w:rFonts w:asciiTheme="minorHAnsi" w:hAnsiTheme="minorHAnsi" w:cstheme="minorHAnsi"/>
                <w:sz w:val="24"/>
                <w:szCs w:val="24"/>
                <w:lang w:val="en-US"/>
              </w:rPr>
            </w:pPr>
            <w:hyperlink r:id="rId74"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5DEDE6CD"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70EDE9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07EB907"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Retain and add a new coordinating function with ITU-D</w:t>
            </w:r>
          </w:p>
        </w:tc>
        <w:tc>
          <w:tcPr>
            <w:tcW w:w="1560" w:type="dxa"/>
            <w:tcBorders>
              <w:top w:val="single" w:sz="4" w:space="0" w:color="auto"/>
              <w:left w:val="single" w:sz="4" w:space="0" w:color="auto"/>
              <w:bottom w:val="single" w:sz="4" w:space="0" w:color="auto"/>
              <w:right w:val="single" w:sz="4" w:space="0" w:color="auto"/>
            </w:tcBorders>
            <w:hideMark/>
          </w:tcPr>
          <w:p w14:paraId="188CF76B"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*)B</w:t>
            </w:r>
          </w:p>
        </w:tc>
        <w:tc>
          <w:tcPr>
            <w:tcW w:w="2509" w:type="dxa"/>
            <w:tcBorders>
              <w:top w:val="single" w:sz="4" w:space="0" w:color="auto"/>
              <w:left w:val="single" w:sz="4" w:space="0" w:color="auto"/>
              <w:bottom w:val="single" w:sz="4" w:space="0" w:color="auto"/>
              <w:right w:val="single" w:sz="12" w:space="0" w:color="auto"/>
            </w:tcBorders>
            <w:hideMark/>
          </w:tcPr>
          <w:p w14:paraId="72FC8E59" w14:textId="77777777" w:rsidR="00F8236B" w:rsidRPr="002C272D" w:rsidRDefault="00F8236B">
            <w:pPr>
              <w:pStyle w:val="Tabletext"/>
              <w:rPr>
                <w:rFonts w:asciiTheme="minorHAnsi" w:hAnsiTheme="minorHAnsi" w:cstheme="minorHAnsi"/>
                <w:sz w:val="24"/>
                <w:szCs w:val="24"/>
                <w:lang w:val="en-US"/>
              </w:rPr>
            </w:pPr>
            <w:hyperlink r:id="rId75"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01D7B06C"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ABC2F73"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075149C"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56A48999"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013FA633"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361F80F5"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A97D40F"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DAF2AF6"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Merge all SG3 (Charging &amp; Accounting/Settlement,</w:t>
            </w:r>
            <w:r w:rsidRPr="002C272D">
              <w:rPr>
                <w:rFonts w:asciiTheme="minorHAnsi" w:eastAsiaTheme="minorEastAsia" w:hAnsiTheme="minorHAnsi" w:cstheme="minorHAnsi"/>
                <w:color w:val="000000" w:themeColor="text1"/>
                <w:kern w:val="24"/>
                <w:sz w:val="24"/>
                <w:szCs w:val="24"/>
                <w:lang w:val="en-US" w:eastAsia="ja-JP"/>
              </w:rPr>
              <w:t xml:space="preserve"> </w:t>
            </w:r>
            <w:r w:rsidRPr="002C272D">
              <w:rPr>
                <w:rFonts w:asciiTheme="minorHAnsi" w:hAnsiTheme="minorHAnsi" w:cstheme="minorHAnsi"/>
                <w:sz w:val="24"/>
                <w:szCs w:val="24"/>
                <w:lang w:val="en-US"/>
              </w:rPr>
              <w:t>Economic &amp; Policy Factors of ICT services,</w:t>
            </w:r>
            <w:r w:rsidRPr="002C272D">
              <w:rPr>
                <w:rFonts w:asciiTheme="minorHAnsi" w:eastAsiaTheme="minorEastAsia" w:hAnsiTheme="minorHAnsi" w:cstheme="minorHAnsi"/>
                <w:color w:val="000000" w:themeColor="text1"/>
                <w:kern w:val="24"/>
                <w:sz w:val="24"/>
                <w:szCs w:val="24"/>
                <w:lang w:val="en-US" w:eastAsia="ja-JP"/>
              </w:rPr>
              <w:t xml:space="preserve"> </w:t>
            </w:r>
            <w:r w:rsidRPr="002C272D">
              <w:rPr>
                <w:rFonts w:asciiTheme="minorHAnsi" w:hAnsiTheme="minorHAnsi" w:cstheme="minorHAnsi"/>
                <w:sz w:val="24"/>
                <w:szCs w:val="24"/>
                <w:lang w:val="en-US"/>
              </w:rPr>
              <w:t>Economic &amp; Policy Factors of Regulation, Competition &amp; Conv) into new SG(d)IV (SG2+SG3)</w:t>
            </w:r>
          </w:p>
        </w:tc>
        <w:tc>
          <w:tcPr>
            <w:tcW w:w="1560" w:type="dxa"/>
            <w:tcBorders>
              <w:top w:val="single" w:sz="4" w:space="0" w:color="auto"/>
              <w:left w:val="single" w:sz="4" w:space="0" w:color="auto"/>
              <w:bottom w:val="single" w:sz="4" w:space="0" w:color="auto"/>
              <w:right w:val="single" w:sz="4" w:space="0" w:color="auto"/>
            </w:tcBorders>
            <w:hideMark/>
          </w:tcPr>
          <w:p w14:paraId="040FF2FE"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SG(d)IV</w:t>
            </w:r>
          </w:p>
        </w:tc>
        <w:tc>
          <w:tcPr>
            <w:tcW w:w="2509" w:type="dxa"/>
            <w:tcBorders>
              <w:top w:val="single" w:sz="4" w:space="0" w:color="auto"/>
              <w:left w:val="single" w:sz="4" w:space="0" w:color="auto"/>
              <w:bottom w:val="single" w:sz="4" w:space="0" w:color="auto"/>
              <w:right w:val="single" w:sz="12" w:space="0" w:color="auto"/>
            </w:tcBorders>
            <w:hideMark/>
          </w:tcPr>
          <w:p w14:paraId="72E9A2A8" w14:textId="77777777" w:rsidR="00F8236B" w:rsidRPr="002C272D" w:rsidRDefault="00F8236B">
            <w:pPr>
              <w:pStyle w:val="Tabletext"/>
              <w:rPr>
                <w:rFonts w:asciiTheme="minorHAnsi" w:hAnsiTheme="minorHAnsi" w:cstheme="minorHAnsi"/>
                <w:sz w:val="24"/>
                <w:szCs w:val="24"/>
                <w:lang w:val="en-US"/>
              </w:rPr>
            </w:pPr>
            <w:hyperlink r:id="rId76"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 </w:t>
            </w:r>
          </w:p>
          <w:p w14:paraId="08120391" w14:textId="77777777" w:rsidR="00F8236B" w:rsidRPr="002C272D" w:rsidRDefault="00F8236B">
            <w:pPr>
              <w:pStyle w:val="Tabletext"/>
              <w:rPr>
                <w:rFonts w:asciiTheme="minorHAnsi" w:hAnsiTheme="minorHAnsi" w:cstheme="minorHAnsi"/>
                <w:sz w:val="24"/>
                <w:szCs w:val="24"/>
                <w:lang w:val="en-US"/>
              </w:rPr>
            </w:pPr>
            <w:hyperlink r:id="rId77" w:history="1">
              <w:r w:rsidRPr="002C272D">
                <w:rPr>
                  <w:rStyle w:val="Hyperlink"/>
                  <w:rFonts w:asciiTheme="minorHAnsi" w:hAnsiTheme="minorHAnsi" w:cstheme="minorHAnsi"/>
                  <w:sz w:val="24"/>
                  <w:szCs w:val="24"/>
                  <w:lang w:val="en-US"/>
                </w:rPr>
                <w:t>RGWP-C1</w:t>
              </w:r>
            </w:hyperlink>
            <w:r w:rsidRPr="002C272D">
              <w:rPr>
                <w:rFonts w:asciiTheme="minorHAnsi" w:hAnsiTheme="minorHAnsi" w:cstheme="minorHAnsi"/>
                <w:sz w:val="24"/>
                <w:szCs w:val="24"/>
                <w:lang w:val="en-US"/>
              </w:rPr>
              <w:t xml:space="preserve"> (Mexico)</w:t>
            </w:r>
          </w:p>
        </w:tc>
      </w:tr>
      <w:tr w:rsidR="00F8236B" w:rsidRPr="002C272D" w14:paraId="1DBCA53E"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1A30214"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1593B99F"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5F44C215"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6BD677BE"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545C59D4"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691C00AE"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SG5</w:t>
            </w:r>
          </w:p>
        </w:tc>
        <w:tc>
          <w:tcPr>
            <w:tcW w:w="4565" w:type="dxa"/>
            <w:tcBorders>
              <w:top w:val="single" w:sz="4" w:space="0" w:color="auto"/>
              <w:left w:val="single" w:sz="4" w:space="0" w:color="auto"/>
              <w:bottom w:val="single" w:sz="4" w:space="0" w:color="auto"/>
              <w:right w:val="single" w:sz="4" w:space="0" w:color="auto"/>
            </w:tcBorders>
            <w:hideMark/>
          </w:tcPr>
          <w:p w14:paraId="72530626"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14:paraId="761FD211"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3DCAD687" w14:textId="77777777" w:rsidR="00F8236B" w:rsidRPr="002C272D" w:rsidRDefault="00F8236B">
            <w:pPr>
              <w:pStyle w:val="Tabletext"/>
              <w:rPr>
                <w:rFonts w:asciiTheme="minorHAnsi" w:hAnsiTheme="minorHAnsi" w:cstheme="minorHAnsi"/>
                <w:sz w:val="24"/>
                <w:szCs w:val="24"/>
                <w:lang w:val="en-US"/>
              </w:rPr>
            </w:pPr>
            <w:hyperlink r:id="rId78" w:history="1">
              <w:r w:rsidRPr="002C272D">
                <w:rPr>
                  <w:rStyle w:val="Hyperlink"/>
                  <w:rFonts w:asciiTheme="minorHAnsi" w:hAnsiTheme="minorHAnsi" w:cstheme="minorHAnsi"/>
                  <w:sz w:val="24"/>
                  <w:szCs w:val="24"/>
                  <w:lang w:val="en-US"/>
                </w:rPr>
                <w:t>RGWP-C1</w:t>
              </w:r>
            </w:hyperlink>
            <w:r w:rsidRPr="002C272D">
              <w:rPr>
                <w:rFonts w:asciiTheme="minorHAnsi" w:hAnsiTheme="minorHAnsi" w:cstheme="minorHAnsi"/>
                <w:sz w:val="24"/>
                <w:szCs w:val="24"/>
                <w:lang w:val="en-US"/>
              </w:rPr>
              <w:t xml:space="preserve"> (Mexico)</w:t>
            </w:r>
          </w:p>
          <w:p w14:paraId="2994D8BA" w14:textId="77777777" w:rsidR="00F8236B" w:rsidRPr="002C272D" w:rsidRDefault="00F8236B">
            <w:pPr>
              <w:pStyle w:val="Tabletext"/>
              <w:rPr>
                <w:rFonts w:asciiTheme="minorHAnsi" w:hAnsiTheme="minorHAnsi" w:cstheme="minorHAnsi"/>
                <w:sz w:val="24"/>
                <w:szCs w:val="24"/>
                <w:lang w:val="en-US"/>
              </w:rPr>
            </w:pPr>
            <w:hyperlink r:id="rId79"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4E4B2FAF" w14:textId="77777777" w:rsidR="00F8236B" w:rsidRPr="002C272D" w:rsidRDefault="00F8236B">
            <w:pPr>
              <w:pStyle w:val="Tabletext"/>
              <w:rPr>
                <w:rFonts w:asciiTheme="minorHAnsi" w:hAnsiTheme="minorHAnsi" w:cstheme="minorHAnsi"/>
                <w:sz w:val="24"/>
                <w:szCs w:val="24"/>
                <w:lang w:val="en-US"/>
              </w:rPr>
            </w:pPr>
            <w:hyperlink r:id="rId80"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p w14:paraId="35713DCB" w14:textId="77777777" w:rsidR="00F8236B" w:rsidRPr="002C272D" w:rsidRDefault="00F8236B">
            <w:pPr>
              <w:pStyle w:val="Tabletext"/>
              <w:rPr>
                <w:rFonts w:asciiTheme="minorHAnsi" w:hAnsiTheme="minorHAnsi" w:cstheme="minorHAnsi"/>
                <w:sz w:val="24"/>
                <w:szCs w:val="24"/>
                <w:lang w:val="en-US"/>
              </w:rPr>
            </w:pPr>
            <w:hyperlink r:id="rId81"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4174F8A9"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5EF05FC"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DC58AEE"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4E6FCC5D"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31FFE806"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271A79D1"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F743400"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7FBBE36"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SG5 (Environ., Energy &amp; Circular Econ, EMC/F, lightening Protection) into new SG(d)V (SG5+SG12+SG17)</w:t>
            </w:r>
          </w:p>
        </w:tc>
        <w:tc>
          <w:tcPr>
            <w:tcW w:w="1560" w:type="dxa"/>
            <w:tcBorders>
              <w:top w:val="single" w:sz="4" w:space="0" w:color="auto"/>
              <w:left w:val="single" w:sz="4" w:space="0" w:color="auto"/>
              <w:bottom w:val="single" w:sz="4" w:space="0" w:color="auto"/>
              <w:right w:val="single" w:sz="4" w:space="0" w:color="auto"/>
            </w:tcBorders>
            <w:hideMark/>
          </w:tcPr>
          <w:p w14:paraId="3FBD1222"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SG(d)V</w:t>
            </w:r>
          </w:p>
        </w:tc>
        <w:tc>
          <w:tcPr>
            <w:tcW w:w="2509" w:type="dxa"/>
            <w:tcBorders>
              <w:top w:val="single" w:sz="4" w:space="0" w:color="auto"/>
              <w:left w:val="single" w:sz="4" w:space="0" w:color="auto"/>
              <w:bottom w:val="single" w:sz="4" w:space="0" w:color="auto"/>
              <w:right w:val="single" w:sz="12" w:space="0" w:color="auto"/>
            </w:tcBorders>
            <w:hideMark/>
          </w:tcPr>
          <w:p w14:paraId="536D6723" w14:textId="77777777" w:rsidR="00F8236B" w:rsidRPr="002C272D" w:rsidRDefault="00F8236B">
            <w:pPr>
              <w:pStyle w:val="Tabletext"/>
              <w:rPr>
                <w:rFonts w:asciiTheme="minorHAnsi" w:hAnsiTheme="minorHAnsi" w:cstheme="minorHAnsi"/>
                <w:sz w:val="24"/>
                <w:szCs w:val="24"/>
                <w:lang w:val="en-US"/>
              </w:rPr>
            </w:pPr>
            <w:hyperlink r:id="rId82"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w:t>
            </w:r>
          </w:p>
        </w:tc>
      </w:tr>
      <w:tr w:rsidR="00F8236B" w:rsidRPr="002C272D" w14:paraId="3E1A0DA1"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DC00112"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9F5E795"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m2) move all SG5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*)C</w:t>
            </w:r>
          </w:p>
        </w:tc>
        <w:tc>
          <w:tcPr>
            <w:tcW w:w="1560" w:type="dxa"/>
            <w:tcBorders>
              <w:top w:val="single" w:sz="4" w:space="0" w:color="auto"/>
              <w:left w:val="single" w:sz="4" w:space="0" w:color="auto"/>
              <w:bottom w:val="single" w:sz="4" w:space="0" w:color="auto"/>
              <w:right w:val="single" w:sz="4" w:space="0" w:color="auto"/>
            </w:tcBorders>
            <w:hideMark/>
          </w:tcPr>
          <w:p w14:paraId="39C20304"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*)C</w:t>
            </w:r>
          </w:p>
        </w:tc>
        <w:tc>
          <w:tcPr>
            <w:tcW w:w="2509" w:type="dxa"/>
            <w:tcBorders>
              <w:top w:val="single" w:sz="4" w:space="0" w:color="auto"/>
              <w:left w:val="single" w:sz="4" w:space="0" w:color="auto"/>
              <w:bottom w:val="single" w:sz="4" w:space="0" w:color="auto"/>
              <w:right w:val="single" w:sz="12" w:space="0" w:color="auto"/>
            </w:tcBorders>
            <w:hideMark/>
          </w:tcPr>
          <w:p w14:paraId="62FA79A8" w14:textId="77777777" w:rsidR="00F8236B" w:rsidRPr="002C272D" w:rsidRDefault="00F8236B">
            <w:pPr>
              <w:pStyle w:val="Tabletext"/>
              <w:rPr>
                <w:rFonts w:asciiTheme="minorHAnsi" w:hAnsiTheme="minorHAnsi" w:cstheme="minorHAnsi"/>
                <w:sz w:val="24"/>
                <w:szCs w:val="24"/>
                <w:lang w:val="en-US"/>
              </w:rPr>
            </w:pPr>
            <w:hyperlink r:id="rId83"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479FD748"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889AD0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4BFFA0E"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move all SG5 into new theta</w:t>
            </w:r>
          </w:p>
        </w:tc>
        <w:tc>
          <w:tcPr>
            <w:tcW w:w="1560" w:type="dxa"/>
            <w:tcBorders>
              <w:top w:val="single" w:sz="4" w:space="0" w:color="auto"/>
              <w:left w:val="single" w:sz="4" w:space="0" w:color="auto"/>
              <w:bottom w:val="single" w:sz="4" w:space="0" w:color="auto"/>
              <w:right w:val="single" w:sz="4" w:space="0" w:color="auto"/>
            </w:tcBorders>
            <w:hideMark/>
          </w:tcPr>
          <w:p w14:paraId="73E89F02"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theta</w:t>
            </w:r>
          </w:p>
        </w:tc>
        <w:tc>
          <w:tcPr>
            <w:tcW w:w="2509" w:type="dxa"/>
            <w:tcBorders>
              <w:top w:val="single" w:sz="4" w:space="0" w:color="auto"/>
              <w:left w:val="single" w:sz="4" w:space="0" w:color="auto"/>
              <w:bottom w:val="single" w:sz="4" w:space="0" w:color="auto"/>
              <w:right w:val="single" w:sz="12" w:space="0" w:color="auto"/>
            </w:tcBorders>
            <w:hideMark/>
          </w:tcPr>
          <w:p w14:paraId="3E290B35" w14:textId="77777777" w:rsidR="00F8236B" w:rsidRPr="002C272D" w:rsidRDefault="00F8236B">
            <w:pPr>
              <w:pStyle w:val="Tabletext"/>
              <w:rPr>
                <w:rFonts w:asciiTheme="minorHAnsi" w:hAnsiTheme="minorHAnsi" w:cstheme="minorHAnsi"/>
                <w:sz w:val="24"/>
                <w:szCs w:val="24"/>
                <w:lang w:val="en-US"/>
              </w:rPr>
            </w:pPr>
            <w:hyperlink r:id="rId84"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3F51ACC2"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A12B5A1"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ACEBE7A"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86E11C2"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01AC053D"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78135602"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B5D5FC7"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83022D9"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14:paraId="39B5923C"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05B7D281"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24B8322B"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8D77EF1"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E2DB2E7"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A35091B"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3FAB2BB2"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2194747E"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96961AE"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AD523AE"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DC6B164"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1A900174"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5C043971"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5745C5D6"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SG9</w:t>
            </w:r>
          </w:p>
        </w:tc>
        <w:tc>
          <w:tcPr>
            <w:tcW w:w="4565" w:type="dxa"/>
            <w:tcBorders>
              <w:top w:val="single" w:sz="4" w:space="0" w:color="auto"/>
              <w:left w:val="single" w:sz="4" w:space="0" w:color="auto"/>
              <w:bottom w:val="single" w:sz="4" w:space="0" w:color="auto"/>
              <w:right w:val="single" w:sz="4" w:space="0" w:color="auto"/>
            </w:tcBorders>
            <w:hideMark/>
          </w:tcPr>
          <w:p w14:paraId="2AC38832"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14:paraId="2A4CBDC2"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5D187BEA" w14:textId="77777777" w:rsidR="00F8236B" w:rsidRPr="002C272D" w:rsidRDefault="00F8236B">
            <w:pPr>
              <w:pStyle w:val="Tabletext"/>
              <w:rPr>
                <w:rFonts w:asciiTheme="minorHAnsi" w:hAnsiTheme="minorHAnsi" w:cstheme="minorHAnsi"/>
                <w:sz w:val="24"/>
                <w:szCs w:val="24"/>
                <w:lang w:val="en-US"/>
              </w:rPr>
            </w:pPr>
            <w:hyperlink r:id="rId85"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0F56A1F1" w14:textId="77777777" w:rsidR="00F8236B" w:rsidRPr="002C272D" w:rsidRDefault="00F8236B">
            <w:pPr>
              <w:pStyle w:val="Tabletext"/>
              <w:rPr>
                <w:rFonts w:asciiTheme="minorHAnsi" w:hAnsiTheme="minorHAnsi" w:cstheme="minorHAnsi"/>
                <w:sz w:val="24"/>
                <w:szCs w:val="24"/>
                <w:lang w:val="en-US"/>
              </w:rPr>
            </w:pPr>
            <w:hyperlink r:id="rId86"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p w14:paraId="098F5D8A" w14:textId="77777777" w:rsidR="00F8236B" w:rsidRPr="002C272D" w:rsidRDefault="00F8236B">
            <w:pPr>
              <w:pStyle w:val="Tabletext"/>
              <w:rPr>
                <w:rFonts w:asciiTheme="minorHAnsi" w:hAnsiTheme="minorHAnsi" w:cstheme="minorHAnsi"/>
                <w:sz w:val="24"/>
                <w:szCs w:val="24"/>
                <w:lang w:val="en-US"/>
              </w:rPr>
            </w:pPr>
            <w:hyperlink r:id="rId87"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2DA1B6E7"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91C9ABD"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96913B6"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5F25F8CB"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4EC66F1E"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3121B00A"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FF29010"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78D8EFB"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SG9 into new SG(d)I (SG9+SG16)</w:t>
            </w:r>
          </w:p>
        </w:tc>
        <w:tc>
          <w:tcPr>
            <w:tcW w:w="1560" w:type="dxa"/>
            <w:tcBorders>
              <w:top w:val="single" w:sz="4" w:space="0" w:color="auto"/>
              <w:left w:val="single" w:sz="4" w:space="0" w:color="auto"/>
              <w:bottom w:val="single" w:sz="4" w:space="0" w:color="auto"/>
              <w:right w:val="single" w:sz="4" w:space="0" w:color="auto"/>
            </w:tcBorders>
            <w:hideMark/>
          </w:tcPr>
          <w:p w14:paraId="5CB2EC81"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w:t>
            </w:r>
          </w:p>
        </w:tc>
        <w:tc>
          <w:tcPr>
            <w:tcW w:w="2509" w:type="dxa"/>
            <w:tcBorders>
              <w:top w:val="single" w:sz="4" w:space="0" w:color="auto"/>
              <w:left w:val="single" w:sz="4" w:space="0" w:color="auto"/>
              <w:bottom w:val="single" w:sz="4" w:space="0" w:color="auto"/>
              <w:right w:val="single" w:sz="12" w:space="0" w:color="auto"/>
            </w:tcBorders>
            <w:hideMark/>
          </w:tcPr>
          <w:p w14:paraId="5727E8FA" w14:textId="77777777" w:rsidR="00F8236B" w:rsidRPr="002C272D" w:rsidRDefault="00F8236B">
            <w:pPr>
              <w:pStyle w:val="Tabletext"/>
              <w:rPr>
                <w:rFonts w:asciiTheme="minorHAnsi" w:hAnsiTheme="minorHAnsi" w:cstheme="minorHAnsi"/>
                <w:sz w:val="24"/>
                <w:szCs w:val="24"/>
                <w:lang w:val="en-US"/>
              </w:rPr>
            </w:pPr>
            <w:hyperlink r:id="rId88"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w:t>
            </w:r>
            <w:r w:rsidRPr="002C272D">
              <w:rPr>
                <w:rFonts w:asciiTheme="minorHAnsi" w:hAnsiTheme="minorHAnsi" w:cstheme="minorHAnsi"/>
                <w:sz w:val="24"/>
                <w:szCs w:val="24"/>
                <w:lang w:val="en-US"/>
              </w:rPr>
              <w:br/>
            </w:r>
          </w:p>
        </w:tc>
      </w:tr>
      <w:tr w:rsidR="00F8236B" w:rsidRPr="002C272D" w14:paraId="5C585A29"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46B34B7"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FD23C74"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m2) Move all SG9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*)D</w:t>
            </w:r>
          </w:p>
        </w:tc>
        <w:tc>
          <w:tcPr>
            <w:tcW w:w="1560" w:type="dxa"/>
            <w:tcBorders>
              <w:top w:val="single" w:sz="4" w:space="0" w:color="auto"/>
              <w:left w:val="single" w:sz="4" w:space="0" w:color="auto"/>
              <w:bottom w:val="single" w:sz="4" w:space="0" w:color="auto"/>
              <w:right w:val="single" w:sz="4" w:space="0" w:color="auto"/>
            </w:tcBorders>
            <w:hideMark/>
          </w:tcPr>
          <w:p w14:paraId="4F65FE3D"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*)D</w:t>
            </w:r>
          </w:p>
        </w:tc>
        <w:tc>
          <w:tcPr>
            <w:tcW w:w="2509" w:type="dxa"/>
            <w:tcBorders>
              <w:top w:val="single" w:sz="4" w:space="0" w:color="auto"/>
              <w:left w:val="single" w:sz="4" w:space="0" w:color="auto"/>
              <w:bottom w:val="single" w:sz="4" w:space="0" w:color="auto"/>
              <w:right w:val="single" w:sz="12" w:space="0" w:color="auto"/>
            </w:tcBorders>
            <w:hideMark/>
          </w:tcPr>
          <w:p w14:paraId="16D74AAC" w14:textId="77777777" w:rsidR="00F8236B" w:rsidRPr="002C272D" w:rsidRDefault="00F8236B">
            <w:pPr>
              <w:pStyle w:val="Tabletext"/>
              <w:rPr>
                <w:rFonts w:asciiTheme="minorHAnsi" w:hAnsiTheme="minorHAnsi" w:cstheme="minorHAnsi"/>
                <w:sz w:val="24"/>
                <w:szCs w:val="24"/>
                <w:lang w:val="en-US"/>
              </w:rPr>
            </w:pPr>
            <w:hyperlink r:id="rId89"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6C4F79FD"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487C125"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70971A6"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merge SG9+SG16</w:t>
            </w:r>
          </w:p>
        </w:tc>
        <w:tc>
          <w:tcPr>
            <w:tcW w:w="1560" w:type="dxa"/>
            <w:tcBorders>
              <w:top w:val="single" w:sz="4" w:space="0" w:color="auto"/>
              <w:left w:val="single" w:sz="4" w:space="0" w:color="auto"/>
              <w:bottom w:val="single" w:sz="4" w:space="0" w:color="auto"/>
              <w:right w:val="single" w:sz="4" w:space="0" w:color="auto"/>
            </w:tcBorders>
          </w:tcPr>
          <w:p w14:paraId="3059B28A"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7C232BAD" w14:textId="77777777" w:rsidR="00F8236B" w:rsidRPr="002C272D" w:rsidRDefault="00F8236B">
            <w:pPr>
              <w:pStyle w:val="Tabletext"/>
              <w:rPr>
                <w:rFonts w:asciiTheme="minorHAnsi" w:hAnsiTheme="minorHAnsi" w:cstheme="minorHAnsi"/>
                <w:sz w:val="24"/>
                <w:szCs w:val="24"/>
                <w:lang w:val="en-US"/>
              </w:rPr>
            </w:pPr>
            <w:hyperlink r:id="rId90" w:history="1">
              <w:r w:rsidRPr="002C272D">
                <w:rPr>
                  <w:rStyle w:val="Hyperlink"/>
                  <w:rFonts w:asciiTheme="minorHAnsi" w:hAnsiTheme="minorHAnsi" w:cstheme="minorHAnsi"/>
                  <w:sz w:val="24"/>
                  <w:szCs w:val="24"/>
                  <w:lang w:val="en-US"/>
                </w:rPr>
                <w:t>RGWP-C1</w:t>
              </w:r>
            </w:hyperlink>
            <w:r w:rsidRPr="002C272D">
              <w:rPr>
                <w:rFonts w:asciiTheme="minorHAnsi" w:hAnsiTheme="minorHAnsi" w:cstheme="minorHAnsi"/>
                <w:sz w:val="24"/>
                <w:szCs w:val="24"/>
                <w:lang w:val="en-US"/>
              </w:rPr>
              <w:t xml:space="preserve"> (Mexico)</w:t>
            </w:r>
          </w:p>
        </w:tc>
      </w:tr>
      <w:tr w:rsidR="00F8236B" w:rsidRPr="002C272D" w14:paraId="73F92B87"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007DFB6"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91E2C40"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m4) Move all SG9 into new delta</w:t>
            </w:r>
          </w:p>
        </w:tc>
        <w:tc>
          <w:tcPr>
            <w:tcW w:w="1560" w:type="dxa"/>
            <w:tcBorders>
              <w:top w:val="single" w:sz="4" w:space="0" w:color="auto"/>
              <w:left w:val="single" w:sz="4" w:space="0" w:color="auto"/>
              <w:bottom w:val="single" w:sz="4" w:space="0" w:color="auto"/>
              <w:right w:val="single" w:sz="4" w:space="0" w:color="auto"/>
            </w:tcBorders>
            <w:hideMark/>
          </w:tcPr>
          <w:p w14:paraId="659452A3"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delta</w:t>
            </w:r>
          </w:p>
        </w:tc>
        <w:tc>
          <w:tcPr>
            <w:tcW w:w="2509" w:type="dxa"/>
            <w:tcBorders>
              <w:top w:val="single" w:sz="4" w:space="0" w:color="auto"/>
              <w:left w:val="single" w:sz="4" w:space="0" w:color="auto"/>
              <w:bottom w:val="single" w:sz="4" w:space="0" w:color="auto"/>
              <w:right w:val="single" w:sz="12" w:space="0" w:color="auto"/>
            </w:tcBorders>
            <w:hideMark/>
          </w:tcPr>
          <w:p w14:paraId="06332AAF" w14:textId="77777777" w:rsidR="00F8236B" w:rsidRPr="002C272D" w:rsidRDefault="00F8236B">
            <w:pPr>
              <w:pStyle w:val="Tabletext"/>
              <w:rPr>
                <w:rFonts w:asciiTheme="minorHAnsi" w:hAnsiTheme="minorHAnsi" w:cstheme="minorHAnsi"/>
                <w:sz w:val="24"/>
                <w:szCs w:val="24"/>
                <w:lang w:val="en-US"/>
              </w:rPr>
            </w:pPr>
            <w:hyperlink r:id="rId91"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39FBD762"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907BD7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8FCA64B"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F847533"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6790D302"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58CBFC21"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0D829469"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SG11</w:t>
            </w:r>
          </w:p>
        </w:tc>
        <w:tc>
          <w:tcPr>
            <w:tcW w:w="4565" w:type="dxa"/>
            <w:tcBorders>
              <w:top w:val="single" w:sz="4" w:space="0" w:color="auto"/>
              <w:left w:val="single" w:sz="4" w:space="0" w:color="auto"/>
              <w:bottom w:val="single" w:sz="4" w:space="0" w:color="auto"/>
              <w:right w:val="single" w:sz="4" w:space="0" w:color="auto"/>
            </w:tcBorders>
            <w:hideMark/>
          </w:tcPr>
          <w:p w14:paraId="65843065"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14:paraId="1B4191FF"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3D8AAE6A" w14:textId="77777777" w:rsidR="00F8236B" w:rsidRPr="002C272D" w:rsidRDefault="00F8236B">
            <w:pPr>
              <w:pStyle w:val="Tabletext"/>
              <w:rPr>
                <w:rFonts w:asciiTheme="minorHAnsi" w:hAnsiTheme="minorHAnsi" w:cstheme="minorHAnsi"/>
                <w:sz w:val="24"/>
                <w:szCs w:val="24"/>
                <w:lang w:val="en-US"/>
              </w:rPr>
            </w:pPr>
            <w:hyperlink r:id="rId92" w:history="1">
              <w:r w:rsidRPr="002C272D">
                <w:rPr>
                  <w:rStyle w:val="Hyperlink"/>
                  <w:rFonts w:asciiTheme="minorHAnsi" w:hAnsiTheme="minorHAnsi" w:cstheme="minorHAnsi"/>
                  <w:sz w:val="24"/>
                  <w:szCs w:val="24"/>
                  <w:lang w:val="en-US"/>
                </w:rPr>
                <w:t>С125</w:t>
              </w:r>
            </w:hyperlink>
            <w:r w:rsidRPr="002C272D">
              <w:rPr>
                <w:rFonts w:asciiTheme="minorHAnsi" w:hAnsiTheme="minorHAnsi" w:cstheme="minorHAnsi"/>
                <w:sz w:val="24"/>
                <w:szCs w:val="24"/>
                <w:lang w:val="en-US"/>
              </w:rPr>
              <w:t xml:space="preserve"> (Russia)</w:t>
            </w:r>
          </w:p>
          <w:p w14:paraId="0C51FCFD" w14:textId="77777777" w:rsidR="00F8236B" w:rsidRPr="002C272D" w:rsidRDefault="00F8236B">
            <w:pPr>
              <w:pStyle w:val="Tabletext"/>
              <w:rPr>
                <w:rFonts w:asciiTheme="minorHAnsi" w:hAnsiTheme="minorHAnsi" w:cstheme="minorHAnsi"/>
                <w:sz w:val="24"/>
                <w:szCs w:val="24"/>
                <w:lang w:val="en-US"/>
              </w:rPr>
            </w:pPr>
            <w:hyperlink r:id="rId93"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40633FA4" w14:textId="77777777" w:rsidR="00F8236B" w:rsidRPr="002C272D" w:rsidRDefault="00F8236B">
            <w:pPr>
              <w:pStyle w:val="Tabletext"/>
              <w:rPr>
                <w:rFonts w:asciiTheme="minorHAnsi" w:hAnsiTheme="minorHAnsi" w:cstheme="minorHAnsi"/>
                <w:sz w:val="24"/>
                <w:szCs w:val="24"/>
                <w:lang w:val="en-US"/>
              </w:rPr>
            </w:pPr>
            <w:hyperlink r:id="rId94"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p w14:paraId="3A8D463A" w14:textId="77777777" w:rsidR="00F8236B" w:rsidRPr="002C272D" w:rsidRDefault="00F8236B">
            <w:pPr>
              <w:pStyle w:val="Tabletext"/>
              <w:rPr>
                <w:rFonts w:asciiTheme="minorHAnsi" w:hAnsiTheme="minorHAnsi" w:cstheme="minorHAnsi"/>
                <w:sz w:val="24"/>
                <w:szCs w:val="24"/>
                <w:lang w:val="en-US"/>
              </w:rPr>
            </w:pPr>
            <w:hyperlink r:id="rId95"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5D8A9D8F"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4946EC2"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D69CA1C"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0E7B98E0"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36A470DD"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4FA120B1"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9CB578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8E9DB6A"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SG11 (Control &amp; Management Protocol, C&amp;I and Counterfeit) into new SG(d)III (SG11+SG13)</w:t>
            </w:r>
          </w:p>
        </w:tc>
        <w:tc>
          <w:tcPr>
            <w:tcW w:w="1560" w:type="dxa"/>
            <w:tcBorders>
              <w:top w:val="single" w:sz="4" w:space="0" w:color="auto"/>
              <w:left w:val="single" w:sz="4" w:space="0" w:color="auto"/>
              <w:bottom w:val="single" w:sz="4" w:space="0" w:color="auto"/>
              <w:right w:val="single" w:sz="4" w:space="0" w:color="auto"/>
            </w:tcBorders>
            <w:hideMark/>
          </w:tcPr>
          <w:p w14:paraId="3E9357A3"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SG(d)III</w:t>
            </w:r>
          </w:p>
        </w:tc>
        <w:tc>
          <w:tcPr>
            <w:tcW w:w="2509" w:type="dxa"/>
            <w:tcBorders>
              <w:top w:val="single" w:sz="4" w:space="0" w:color="auto"/>
              <w:left w:val="single" w:sz="4" w:space="0" w:color="auto"/>
              <w:bottom w:val="single" w:sz="4" w:space="0" w:color="auto"/>
              <w:right w:val="single" w:sz="12" w:space="0" w:color="auto"/>
            </w:tcBorders>
            <w:hideMark/>
          </w:tcPr>
          <w:p w14:paraId="3595D1DF" w14:textId="77777777" w:rsidR="00F8236B" w:rsidRPr="002C272D" w:rsidRDefault="00F8236B">
            <w:pPr>
              <w:pStyle w:val="Tabletext"/>
              <w:rPr>
                <w:rFonts w:asciiTheme="minorHAnsi" w:hAnsiTheme="minorHAnsi" w:cstheme="minorHAnsi"/>
                <w:sz w:val="24"/>
                <w:szCs w:val="24"/>
                <w:lang w:val="en-US"/>
              </w:rPr>
            </w:pPr>
            <w:hyperlink r:id="rId96"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 </w:t>
            </w:r>
            <w:r w:rsidRPr="002C272D">
              <w:rPr>
                <w:rFonts w:asciiTheme="minorHAnsi" w:hAnsiTheme="minorHAnsi" w:cstheme="minorHAnsi"/>
                <w:sz w:val="24"/>
                <w:szCs w:val="24"/>
                <w:lang w:val="en-US"/>
              </w:rPr>
              <w:br/>
            </w:r>
          </w:p>
        </w:tc>
      </w:tr>
      <w:tr w:rsidR="00F8236B" w:rsidRPr="002C272D" w14:paraId="6EE55A3F"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370077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2BDBEA14"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2EAFC66D"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285C102D"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54DA76E2"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FC4232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285DAE6"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14:paraId="742B7EE5"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43B0131F"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27AE1E1F"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C0FA826"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5FB290CB"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6069B787"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52B29294"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7B7FBADF"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DC64362"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A13E251"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t1) Move protocols and signalling and test specifications, C&amp;I testing, technologies and services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*)E</w:t>
            </w:r>
          </w:p>
        </w:tc>
        <w:tc>
          <w:tcPr>
            <w:tcW w:w="1560" w:type="dxa"/>
            <w:tcBorders>
              <w:top w:val="single" w:sz="4" w:space="0" w:color="auto"/>
              <w:left w:val="single" w:sz="4" w:space="0" w:color="auto"/>
              <w:bottom w:val="single" w:sz="4" w:space="0" w:color="auto"/>
              <w:right w:val="single" w:sz="4" w:space="0" w:color="auto"/>
            </w:tcBorders>
            <w:hideMark/>
          </w:tcPr>
          <w:p w14:paraId="07DDFD7E"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*)E</w:t>
            </w:r>
          </w:p>
        </w:tc>
        <w:tc>
          <w:tcPr>
            <w:tcW w:w="2509" w:type="dxa"/>
            <w:tcBorders>
              <w:top w:val="single" w:sz="4" w:space="0" w:color="auto"/>
              <w:left w:val="single" w:sz="4" w:space="0" w:color="auto"/>
              <w:bottom w:val="single" w:sz="4" w:space="0" w:color="auto"/>
              <w:right w:val="single" w:sz="12" w:space="0" w:color="auto"/>
            </w:tcBorders>
            <w:hideMark/>
          </w:tcPr>
          <w:p w14:paraId="6A5289DC" w14:textId="77777777" w:rsidR="00F8236B" w:rsidRPr="002C272D" w:rsidRDefault="00F8236B">
            <w:pPr>
              <w:pStyle w:val="Tabletext"/>
              <w:rPr>
                <w:rFonts w:asciiTheme="minorHAnsi" w:hAnsiTheme="minorHAnsi" w:cstheme="minorHAnsi"/>
                <w:sz w:val="24"/>
                <w:szCs w:val="24"/>
                <w:lang w:val="en-US"/>
              </w:rPr>
            </w:pPr>
            <w:hyperlink r:id="rId97"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1F8C1E54"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E310A2D"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A604247"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t2) Move combatting counterfeiting of ICT devices and use of stolen ICT devices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*)H</w:t>
            </w:r>
          </w:p>
        </w:tc>
        <w:tc>
          <w:tcPr>
            <w:tcW w:w="1560" w:type="dxa"/>
            <w:tcBorders>
              <w:top w:val="single" w:sz="4" w:space="0" w:color="auto"/>
              <w:left w:val="single" w:sz="4" w:space="0" w:color="auto"/>
              <w:bottom w:val="single" w:sz="4" w:space="0" w:color="auto"/>
              <w:right w:val="single" w:sz="4" w:space="0" w:color="auto"/>
            </w:tcBorders>
            <w:hideMark/>
          </w:tcPr>
          <w:p w14:paraId="09DB8739"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*)H</w:t>
            </w:r>
          </w:p>
        </w:tc>
        <w:tc>
          <w:tcPr>
            <w:tcW w:w="2509" w:type="dxa"/>
            <w:tcBorders>
              <w:top w:val="single" w:sz="4" w:space="0" w:color="auto"/>
              <w:left w:val="single" w:sz="4" w:space="0" w:color="auto"/>
              <w:bottom w:val="single" w:sz="4" w:space="0" w:color="auto"/>
              <w:right w:val="single" w:sz="12" w:space="0" w:color="auto"/>
            </w:tcBorders>
            <w:hideMark/>
          </w:tcPr>
          <w:p w14:paraId="45DF38A0" w14:textId="77777777" w:rsidR="00F8236B" w:rsidRPr="002C272D" w:rsidRDefault="00F8236B">
            <w:pPr>
              <w:pStyle w:val="Tabletext"/>
              <w:rPr>
                <w:rFonts w:asciiTheme="minorHAnsi" w:hAnsiTheme="minorHAnsi" w:cstheme="minorHAnsi"/>
                <w:sz w:val="24"/>
                <w:szCs w:val="24"/>
                <w:lang w:val="en-US"/>
              </w:rPr>
            </w:pPr>
            <w:hyperlink r:id="rId98"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22987BC7"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D744BF0"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19224B5"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t3) Move WP1/11 and 2/11 into new epsilon</w:t>
            </w:r>
          </w:p>
        </w:tc>
        <w:tc>
          <w:tcPr>
            <w:tcW w:w="1560" w:type="dxa"/>
            <w:tcBorders>
              <w:top w:val="single" w:sz="4" w:space="0" w:color="auto"/>
              <w:left w:val="single" w:sz="4" w:space="0" w:color="auto"/>
              <w:bottom w:val="single" w:sz="4" w:space="0" w:color="auto"/>
              <w:right w:val="single" w:sz="4" w:space="0" w:color="auto"/>
            </w:tcBorders>
            <w:hideMark/>
          </w:tcPr>
          <w:p w14:paraId="6E970A85"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epsilon</w:t>
            </w:r>
          </w:p>
        </w:tc>
        <w:tc>
          <w:tcPr>
            <w:tcW w:w="2509" w:type="dxa"/>
            <w:tcBorders>
              <w:top w:val="single" w:sz="4" w:space="0" w:color="auto"/>
              <w:left w:val="single" w:sz="4" w:space="0" w:color="auto"/>
              <w:bottom w:val="single" w:sz="4" w:space="0" w:color="auto"/>
              <w:right w:val="single" w:sz="12" w:space="0" w:color="auto"/>
            </w:tcBorders>
            <w:hideMark/>
          </w:tcPr>
          <w:p w14:paraId="337B7732" w14:textId="77777777" w:rsidR="00F8236B" w:rsidRPr="002C272D" w:rsidRDefault="00F8236B">
            <w:pPr>
              <w:pStyle w:val="Tabletext"/>
              <w:rPr>
                <w:rFonts w:asciiTheme="minorHAnsi" w:hAnsiTheme="minorHAnsi" w:cstheme="minorHAnsi"/>
                <w:sz w:val="24"/>
                <w:szCs w:val="24"/>
                <w:lang w:val="en-US"/>
              </w:rPr>
            </w:pPr>
            <w:hyperlink r:id="rId99"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7069C402"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ED14720"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DA27B8E"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t4) Move WP3/11 into new zeta</w:t>
            </w:r>
          </w:p>
        </w:tc>
        <w:tc>
          <w:tcPr>
            <w:tcW w:w="1560" w:type="dxa"/>
            <w:tcBorders>
              <w:top w:val="single" w:sz="4" w:space="0" w:color="auto"/>
              <w:left w:val="single" w:sz="4" w:space="0" w:color="auto"/>
              <w:bottom w:val="single" w:sz="4" w:space="0" w:color="auto"/>
              <w:right w:val="single" w:sz="4" w:space="0" w:color="auto"/>
            </w:tcBorders>
            <w:hideMark/>
          </w:tcPr>
          <w:p w14:paraId="6D6AC3C2"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zeta</w:t>
            </w:r>
          </w:p>
        </w:tc>
        <w:tc>
          <w:tcPr>
            <w:tcW w:w="2509" w:type="dxa"/>
            <w:tcBorders>
              <w:top w:val="single" w:sz="4" w:space="0" w:color="auto"/>
              <w:left w:val="single" w:sz="4" w:space="0" w:color="auto"/>
              <w:bottom w:val="single" w:sz="4" w:space="0" w:color="auto"/>
              <w:right w:val="single" w:sz="12" w:space="0" w:color="auto"/>
            </w:tcBorders>
            <w:hideMark/>
          </w:tcPr>
          <w:p w14:paraId="33E4ED20" w14:textId="77777777" w:rsidR="00F8236B" w:rsidRPr="002C272D" w:rsidRDefault="00F8236B">
            <w:pPr>
              <w:pStyle w:val="Tabletext"/>
              <w:rPr>
                <w:rFonts w:asciiTheme="minorHAnsi" w:hAnsiTheme="minorHAnsi" w:cstheme="minorHAnsi"/>
                <w:sz w:val="24"/>
                <w:szCs w:val="24"/>
                <w:lang w:val="en-US"/>
              </w:rPr>
            </w:pPr>
            <w:hyperlink r:id="rId100"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3097C3FE"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4916356"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89C8F37"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292F1AEE"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0F28F04F"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4A769969"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946B114"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80422E2"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1BB110B"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50899DC6"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1595EA1A"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2E81AE0"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5D5BD306" w14:textId="77777777" w:rsidR="00F8236B" w:rsidRPr="00BE0454" w:rsidRDefault="00F8236B">
            <w:pPr>
              <w:pStyle w:val="Tabletext"/>
              <w:ind w:left="284"/>
              <w:rPr>
                <w:rFonts w:asciiTheme="minorHAnsi" w:hAnsiTheme="minorHAnsi" w:cstheme="minorHAnsi"/>
                <w:strike/>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26BB6A3E" w14:textId="77777777" w:rsidR="00F8236B" w:rsidRPr="00BE0454" w:rsidRDefault="00F8236B">
            <w:pPr>
              <w:pStyle w:val="Tabletext"/>
              <w:rPr>
                <w:rFonts w:asciiTheme="minorHAnsi" w:hAnsiTheme="minorHAnsi" w:cstheme="minorHAnsi"/>
                <w:strike/>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7EE796EC" w14:textId="77777777" w:rsidR="00F8236B" w:rsidRPr="00BE0454" w:rsidRDefault="00F8236B">
            <w:pPr>
              <w:pStyle w:val="Tabletext"/>
              <w:rPr>
                <w:rFonts w:asciiTheme="minorHAnsi" w:hAnsiTheme="minorHAnsi" w:cstheme="minorHAnsi"/>
                <w:strike/>
                <w:sz w:val="24"/>
                <w:szCs w:val="24"/>
                <w:lang w:val="en-US"/>
              </w:rPr>
            </w:pPr>
          </w:p>
        </w:tc>
      </w:tr>
      <w:tr w:rsidR="00F8236B" w:rsidRPr="002C272D" w14:paraId="473C3782"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3429F6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1DEA99A6" w14:textId="77777777" w:rsidR="00F8236B" w:rsidRPr="00BE0454" w:rsidRDefault="00F8236B">
            <w:pPr>
              <w:pStyle w:val="Tabletext"/>
              <w:ind w:left="284"/>
              <w:rPr>
                <w:rFonts w:asciiTheme="minorHAnsi" w:hAnsiTheme="minorHAnsi" w:cstheme="minorHAnsi"/>
                <w:strike/>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4C153D9C" w14:textId="77777777" w:rsidR="00F8236B" w:rsidRPr="00BE0454" w:rsidRDefault="00F8236B">
            <w:pPr>
              <w:pStyle w:val="Tabletext"/>
              <w:rPr>
                <w:rFonts w:asciiTheme="minorHAnsi" w:hAnsiTheme="minorHAnsi" w:cstheme="minorHAnsi"/>
                <w:strike/>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65E96E60" w14:textId="77777777" w:rsidR="00F8236B" w:rsidRPr="00BE0454" w:rsidRDefault="00F8236B">
            <w:pPr>
              <w:pStyle w:val="Tabletext"/>
              <w:rPr>
                <w:rFonts w:asciiTheme="minorHAnsi" w:hAnsiTheme="minorHAnsi" w:cstheme="minorHAnsi"/>
                <w:strike/>
                <w:sz w:val="24"/>
                <w:szCs w:val="24"/>
                <w:lang w:val="en-US"/>
              </w:rPr>
            </w:pPr>
          </w:p>
        </w:tc>
      </w:tr>
      <w:tr w:rsidR="00F8236B" w:rsidRPr="002C272D" w14:paraId="2FF5874D"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6C2A5FE0"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SG12</w:t>
            </w:r>
          </w:p>
        </w:tc>
        <w:tc>
          <w:tcPr>
            <w:tcW w:w="4565" w:type="dxa"/>
            <w:tcBorders>
              <w:top w:val="single" w:sz="4" w:space="0" w:color="auto"/>
              <w:left w:val="single" w:sz="4" w:space="0" w:color="auto"/>
              <w:bottom w:val="single" w:sz="4" w:space="0" w:color="auto"/>
              <w:right w:val="single" w:sz="4" w:space="0" w:color="auto"/>
            </w:tcBorders>
            <w:hideMark/>
          </w:tcPr>
          <w:p w14:paraId="30ACF290" w14:textId="77777777" w:rsidR="00F8236B" w:rsidRPr="002C272D" w:rsidRDefault="00F8236B">
            <w:pPr>
              <w:pStyle w:val="Tabletext"/>
              <w:rPr>
                <w:rFonts w:asciiTheme="minorHAnsi" w:hAnsiTheme="minorHAnsi" w:cstheme="minorHAnsi"/>
                <w:i/>
                <w:i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14:paraId="75E23E39"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037A0E97" w14:textId="77777777" w:rsidR="00F8236B" w:rsidRPr="002C272D" w:rsidRDefault="00F8236B">
            <w:pPr>
              <w:pStyle w:val="Tabletext"/>
              <w:rPr>
                <w:rFonts w:asciiTheme="minorHAnsi" w:hAnsiTheme="minorHAnsi" w:cstheme="minorHAnsi"/>
                <w:sz w:val="24"/>
                <w:szCs w:val="24"/>
                <w:lang w:val="en-US"/>
              </w:rPr>
            </w:pPr>
            <w:hyperlink r:id="rId101" w:history="1">
              <w:r w:rsidRPr="002C272D">
                <w:rPr>
                  <w:rStyle w:val="Hyperlink"/>
                  <w:rFonts w:asciiTheme="minorHAnsi" w:hAnsiTheme="minorHAnsi" w:cstheme="minorHAnsi"/>
                  <w:sz w:val="24"/>
                  <w:szCs w:val="24"/>
                  <w:lang w:val="en-US"/>
                </w:rPr>
                <w:t>RGWP-C1</w:t>
              </w:r>
            </w:hyperlink>
            <w:r w:rsidRPr="002C272D">
              <w:rPr>
                <w:rFonts w:asciiTheme="minorHAnsi" w:hAnsiTheme="minorHAnsi" w:cstheme="minorHAnsi"/>
                <w:sz w:val="24"/>
                <w:szCs w:val="24"/>
                <w:lang w:val="en-US"/>
              </w:rPr>
              <w:t xml:space="preserve"> (Mexico)</w:t>
            </w:r>
          </w:p>
          <w:p w14:paraId="7C8E7052" w14:textId="77777777" w:rsidR="00F8236B" w:rsidRPr="002C272D" w:rsidRDefault="00F8236B">
            <w:pPr>
              <w:pStyle w:val="Tabletext"/>
              <w:rPr>
                <w:rFonts w:asciiTheme="minorHAnsi" w:hAnsiTheme="minorHAnsi" w:cstheme="minorHAnsi"/>
                <w:sz w:val="24"/>
                <w:szCs w:val="24"/>
                <w:lang w:val="en-US"/>
              </w:rPr>
            </w:pPr>
            <w:hyperlink r:id="rId102"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7F780633" w14:textId="77777777" w:rsidR="00F8236B" w:rsidRPr="002C272D" w:rsidRDefault="00F8236B">
            <w:pPr>
              <w:pStyle w:val="Tabletext"/>
              <w:rPr>
                <w:rFonts w:asciiTheme="minorHAnsi" w:hAnsiTheme="minorHAnsi" w:cstheme="minorHAnsi"/>
                <w:sz w:val="24"/>
                <w:szCs w:val="24"/>
                <w:lang w:val="en-US"/>
              </w:rPr>
            </w:pPr>
            <w:hyperlink r:id="rId103"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p w14:paraId="3A92E204" w14:textId="77777777" w:rsidR="00F8236B" w:rsidRPr="002C272D" w:rsidRDefault="00F8236B">
            <w:pPr>
              <w:pStyle w:val="Tabletext"/>
              <w:rPr>
                <w:rFonts w:asciiTheme="minorHAnsi" w:hAnsiTheme="minorHAnsi" w:cstheme="minorHAnsi"/>
                <w:sz w:val="24"/>
                <w:szCs w:val="24"/>
                <w:lang w:val="en-US"/>
              </w:rPr>
            </w:pPr>
            <w:hyperlink r:id="rId104"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79BE58CF"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9545243"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2E4C482" w14:textId="77777777" w:rsidR="00F8236B" w:rsidRPr="002C272D" w:rsidRDefault="00F8236B">
            <w:pPr>
              <w:pStyle w:val="Tabletext"/>
              <w:rPr>
                <w:rFonts w:asciiTheme="minorHAnsi" w:hAnsiTheme="minorHAnsi" w:cstheme="minorHAnsi"/>
                <w:i/>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0D5385EC"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58456847"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309CEC70"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662086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9E9B73A" w14:textId="77777777" w:rsidR="00F8236B" w:rsidRPr="002C272D" w:rsidRDefault="00F8236B">
            <w:pPr>
              <w:pStyle w:val="Tabletext"/>
              <w:ind w:left="284"/>
              <w:rPr>
                <w:rFonts w:asciiTheme="minorHAnsi" w:hAnsiTheme="minorHAnsi" w:cstheme="minorHAnsi"/>
                <w:i/>
                <w:sz w:val="24"/>
                <w:szCs w:val="24"/>
                <w:lang w:val="en-US"/>
              </w:rPr>
            </w:pPr>
            <w:r w:rsidRPr="002C272D">
              <w:rPr>
                <w:rFonts w:asciiTheme="minorHAnsi" w:hAnsiTheme="minorHAnsi" w:cstheme="minorHAnsi"/>
                <w:sz w:val="24"/>
                <w:szCs w:val="24"/>
                <w:lang w:val="en-US"/>
              </w:rPr>
              <w:t>m1) move all SG12 (Subjective Assessment,</w:t>
            </w:r>
            <w:r w:rsidRPr="002C272D">
              <w:rPr>
                <w:rFonts w:asciiTheme="minorHAnsi" w:eastAsiaTheme="minorEastAsia" w:hAnsiTheme="minorHAnsi" w:cstheme="minorHAnsi"/>
                <w:color w:val="000000" w:themeColor="text1"/>
                <w:kern w:val="24"/>
                <w:sz w:val="24"/>
                <w:szCs w:val="24"/>
                <w:lang w:val="en-US" w:eastAsia="ja-JP"/>
              </w:rPr>
              <w:t xml:space="preserve"> </w:t>
            </w:r>
            <w:r w:rsidRPr="002C272D">
              <w:rPr>
                <w:rFonts w:asciiTheme="minorHAnsi" w:hAnsiTheme="minorHAnsi" w:cstheme="minorHAnsi"/>
                <w:sz w:val="24"/>
                <w:szCs w:val="24"/>
                <w:lang w:val="en-US"/>
              </w:rPr>
              <w:t>Objective Models) into new SG(d)V (SG5+SG12+SG17)</w:t>
            </w:r>
          </w:p>
        </w:tc>
        <w:tc>
          <w:tcPr>
            <w:tcW w:w="1560" w:type="dxa"/>
            <w:tcBorders>
              <w:top w:val="single" w:sz="4" w:space="0" w:color="auto"/>
              <w:left w:val="single" w:sz="4" w:space="0" w:color="auto"/>
              <w:bottom w:val="single" w:sz="4" w:space="0" w:color="auto"/>
              <w:right w:val="single" w:sz="4" w:space="0" w:color="auto"/>
            </w:tcBorders>
            <w:hideMark/>
          </w:tcPr>
          <w:p w14:paraId="26271B6A"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SG(d)V</w:t>
            </w:r>
          </w:p>
        </w:tc>
        <w:tc>
          <w:tcPr>
            <w:tcW w:w="2509" w:type="dxa"/>
            <w:tcBorders>
              <w:top w:val="single" w:sz="4" w:space="0" w:color="auto"/>
              <w:left w:val="single" w:sz="4" w:space="0" w:color="auto"/>
              <w:bottom w:val="single" w:sz="4" w:space="0" w:color="auto"/>
              <w:right w:val="single" w:sz="12" w:space="0" w:color="auto"/>
            </w:tcBorders>
            <w:hideMark/>
          </w:tcPr>
          <w:p w14:paraId="45538833" w14:textId="77777777" w:rsidR="00F8236B" w:rsidRPr="002C272D" w:rsidRDefault="00F8236B">
            <w:pPr>
              <w:pStyle w:val="Tabletext"/>
              <w:rPr>
                <w:rFonts w:asciiTheme="minorHAnsi" w:hAnsiTheme="minorHAnsi" w:cstheme="minorHAnsi"/>
                <w:sz w:val="24"/>
                <w:szCs w:val="24"/>
                <w:lang w:val="en-US"/>
              </w:rPr>
            </w:pPr>
            <w:hyperlink r:id="rId105"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w:t>
            </w:r>
          </w:p>
        </w:tc>
      </w:tr>
      <w:tr w:rsidR="00F8236B" w:rsidRPr="002C272D" w14:paraId="720C4D51"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F274B5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18253D2"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m2) move all SG12 into zeta</w:t>
            </w:r>
          </w:p>
        </w:tc>
        <w:tc>
          <w:tcPr>
            <w:tcW w:w="1560" w:type="dxa"/>
            <w:tcBorders>
              <w:top w:val="single" w:sz="4" w:space="0" w:color="auto"/>
              <w:left w:val="single" w:sz="4" w:space="0" w:color="auto"/>
              <w:bottom w:val="single" w:sz="4" w:space="0" w:color="auto"/>
              <w:right w:val="single" w:sz="4" w:space="0" w:color="auto"/>
            </w:tcBorders>
            <w:hideMark/>
          </w:tcPr>
          <w:p w14:paraId="2FD68BDD"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zeta</w:t>
            </w:r>
          </w:p>
        </w:tc>
        <w:tc>
          <w:tcPr>
            <w:tcW w:w="2509" w:type="dxa"/>
            <w:tcBorders>
              <w:top w:val="single" w:sz="4" w:space="0" w:color="auto"/>
              <w:left w:val="single" w:sz="4" w:space="0" w:color="auto"/>
              <w:bottom w:val="single" w:sz="4" w:space="0" w:color="auto"/>
              <w:right w:val="single" w:sz="12" w:space="0" w:color="auto"/>
            </w:tcBorders>
            <w:hideMark/>
          </w:tcPr>
          <w:p w14:paraId="54C05867" w14:textId="77777777" w:rsidR="00F8236B" w:rsidRPr="002C272D" w:rsidRDefault="00F8236B">
            <w:pPr>
              <w:pStyle w:val="Tabletext"/>
              <w:rPr>
                <w:rFonts w:asciiTheme="minorHAnsi" w:hAnsiTheme="minorHAnsi" w:cstheme="minorHAnsi"/>
                <w:sz w:val="24"/>
                <w:szCs w:val="24"/>
                <w:lang w:val="en-US"/>
              </w:rPr>
            </w:pPr>
            <w:hyperlink r:id="rId106"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1B193B40"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CFF1DD3"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2281C2B"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7CD6268"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3D44FFE1"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727394B1"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202B7EE"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D56E959"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m4) Move all SG12 into new SG (*) E</w:t>
            </w:r>
          </w:p>
        </w:tc>
        <w:tc>
          <w:tcPr>
            <w:tcW w:w="1560" w:type="dxa"/>
            <w:tcBorders>
              <w:top w:val="single" w:sz="4" w:space="0" w:color="auto"/>
              <w:left w:val="single" w:sz="4" w:space="0" w:color="auto"/>
              <w:bottom w:val="single" w:sz="4" w:space="0" w:color="auto"/>
              <w:right w:val="single" w:sz="4" w:space="0" w:color="auto"/>
            </w:tcBorders>
            <w:hideMark/>
          </w:tcPr>
          <w:p w14:paraId="7A42C489"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 (*) E</w:t>
            </w:r>
          </w:p>
        </w:tc>
        <w:tc>
          <w:tcPr>
            <w:tcW w:w="2509" w:type="dxa"/>
            <w:tcBorders>
              <w:top w:val="single" w:sz="4" w:space="0" w:color="auto"/>
              <w:left w:val="single" w:sz="4" w:space="0" w:color="auto"/>
              <w:bottom w:val="single" w:sz="4" w:space="0" w:color="auto"/>
              <w:right w:val="single" w:sz="12" w:space="0" w:color="auto"/>
            </w:tcBorders>
            <w:hideMark/>
          </w:tcPr>
          <w:p w14:paraId="6E7AA75D" w14:textId="77777777" w:rsidR="00F8236B" w:rsidRPr="002C272D" w:rsidRDefault="00F8236B">
            <w:pPr>
              <w:pStyle w:val="Tabletext"/>
              <w:rPr>
                <w:rFonts w:asciiTheme="minorHAnsi" w:hAnsiTheme="minorHAnsi" w:cstheme="minorHAnsi"/>
                <w:sz w:val="24"/>
                <w:szCs w:val="24"/>
                <w:lang w:val="en-US"/>
              </w:rPr>
            </w:pPr>
            <w:hyperlink r:id="rId107"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158F3067"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71C3885"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0B127A5"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14:paraId="574AE345"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6EFDB17E"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4E2EB069"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1409C30"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6B49CD4"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29F13E1E"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26E8DB38"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57327B55"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0328768"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D8183C3"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4CA8A7BB"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7D378D3E"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4C2C120C"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6B256CD"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2B8D808"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4844716A"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04BFC66E"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4D557B48"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51BD3704"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SG13</w:t>
            </w:r>
          </w:p>
        </w:tc>
        <w:tc>
          <w:tcPr>
            <w:tcW w:w="4565" w:type="dxa"/>
            <w:tcBorders>
              <w:top w:val="single" w:sz="4" w:space="0" w:color="auto"/>
              <w:left w:val="single" w:sz="4" w:space="0" w:color="auto"/>
              <w:bottom w:val="single" w:sz="4" w:space="0" w:color="auto"/>
              <w:right w:val="single" w:sz="4" w:space="0" w:color="auto"/>
            </w:tcBorders>
            <w:hideMark/>
          </w:tcPr>
          <w:p w14:paraId="62F47A6E"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14:paraId="5809AFF7"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06B0870D" w14:textId="77777777" w:rsidR="00F8236B" w:rsidRPr="002C272D" w:rsidRDefault="00F8236B">
            <w:pPr>
              <w:pStyle w:val="Tabletext"/>
              <w:rPr>
                <w:rFonts w:asciiTheme="minorHAnsi" w:hAnsiTheme="minorHAnsi" w:cstheme="minorHAnsi"/>
                <w:sz w:val="24"/>
                <w:szCs w:val="24"/>
                <w:lang w:val="en-US"/>
              </w:rPr>
            </w:pPr>
            <w:hyperlink r:id="rId108"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3D39BBEA" w14:textId="77777777" w:rsidR="00F8236B" w:rsidRPr="002C272D" w:rsidRDefault="00F8236B">
            <w:pPr>
              <w:pStyle w:val="Tabletext"/>
              <w:rPr>
                <w:rFonts w:asciiTheme="minorHAnsi" w:hAnsiTheme="minorHAnsi" w:cstheme="minorHAnsi"/>
                <w:sz w:val="24"/>
                <w:szCs w:val="24"/>
                <w:lang w:val="en-US"/>
              </w:rPr>
            </w:pPr>
            <w:hyperlink r:id="rId109"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p w14:paraId="6AEAD0B4" w14:textId="77777777" w:rsidR="00F8236B" w:rsidRPr="002C272D" w:rsidRDefault="00F8236B">
            <w:pPr>
              <w:pStyle w:val="Tabletext"/>
              <w:rPr>
                <w:rFonts w:asciiTheme="minorHAnsi" w:hAnsiTheme="minorHAnsi" w:cstheme="minorHAnsi"/>
                <w:sz w:val="24"/>
                <w:szCs w:val="24"/>
                <w:lang w:val="en-US"/>
              </w:rPr>
            </w:pPr>
            <w:hyperlink r:id="rId110"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5F9C0B97"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3675697"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E71CC1B"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3EAFD4D7"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7A851C4F"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699D3D96"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0759AA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ABB3A6F" w14:textId="77777777" w:rsidR="00F8236B" w:rsidRPr="002C272D" w:rsidRDefault="00F8236B">
            <w:pPr>
              <w:pStyle w:val="Tabletext"/>
              <w:ind w:left="284"/>
              <w:rPr>
                <w:rFonts w:asciiTheme="minorHAnsi" w:hAnsiTheme="minorHAnsi" w:cstheme="minorHAnsi"/>
                <w:i/>
                <w:iCs/>
                <w:sz w:val="24"/>
                <w:szCs w:val="24"/>
                <w:lang w:val="en-US"/>
              </w:rPr>
            </w:pPr>
            <w:r w:rsidRPr="002C272D">
              <w:rPr>
                <w:rFonts w:asciiTheme="minorHAnsi" w:hAnsiTheme="minorHAnsi" w:cstheme="minorHAnsi"/>
                <w:sz w:val="24"/>
                <w:szCs w:val="24"/>
                <w:lang w:val="en-US"/>
              </w:rPr>
              <w:t>m1) Move all SG13 (Network &amp; Systems,</w:t>
            </w:r>
            <w:r w:rsidRPr="002C272D">
              <w:rPr>
                <w:rFonts w:asciiTheme="minorHAnsi" w:eastAsiaTheme="minorEastAsia" w:hAnsiTheme="minorHAnsi" w:cstheme="minorHAnsi"/>
                <w:sz w:val="24"/>
                <w:szCs w:val="24"/>
                <w:lang w:val="en-US"/>
              </w:rPr>
              <w:t xml:space="preserve"> Network evolution &amp; trust</w:t>
            </w:r>
            <w:r w:rsidRPr="002C272D">
              <w:rPr>
                <w:rFonts w:asciiTheme="minorHAnsi" w:hAnsiTheme="minorHAnsi" w:cstheme="minorHAnsi"/>
                <w:sz w:val="24"/>
                <w:szCs w:val="24"/>
                <w:lang w:val="en-US"/>
              </w:rPr>
              <w:t>,</w:t>
            </w:r>
            <w:r w:rsidRPr="002C272D">
              <w:rPr>
                <w:rFonts w:asciiTheme="minorHAnsi" w:eastAsiaTheme="minorEastAsia" w:hAnsiTheme="minorHAnsi" w:cstheme="minorHAnsi"/>
                <w:sz w:val="24"/>
                <w:szCs w:val="24"/>
                <w:lang w:val="en-US"/>
              </w:rPr>
              <w:t xml:space="preserve"> Cloud Comp</w:t>
            </w:r>
            <w:r w:rsidRPr="002C272D">
              <w:rPr>
                <w:rFonts w:asciiTheme="minorHAnsi" w:hAnsiTheme="minorHAnsi" w:cstheme="minorHAnsi"/>
                <w:sz w:val="24"/>
                <w:szCs w:val="24"/>
                <w:lang w:val="en-US"/>
              </w:rPr>
              <w:t>uting &amp; Big Data) into new SG(d)III (SG11+SG13)</w:t>
            </w:r>
          </w:p>
        </w:tc>
        <w:tc>
          <w:tcPr>
            <w:tcW w:w="1560" w:type="dxa"/>
            <w:tcBorders>
              <w:top w:val="single" w:sz="4" w:space="0" w:color="auto"/>
              <w:left w:val="single" w:sz="4" w:space="0" w:color="auto"/>
              <w:bottom w:val="single" w:sz="4" w:space="0" w:color="auto"/>
              <w:right w:val="single" w:sz="4" w:space="0" w:color="auto"/>
            </w:tcBorders>
            <w:hideMark/>
          </w:tcPr>
          <w:p w14:paraId="3BBD8386"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SG(d)III</w:t>
            </w:r>
          </w:p>
        </w:tc>
        <w:tc>
          <w:tcPr>
            <w:tcW w:w="2509" w:type="dxa"/>
            <w:tcBorders>
              <w:top w:val="single" w:sz="4" w:space="0" w:color="auto"/>
              <w:left w:val="single" w:sz="4" w:space="0" w:color="auto"/>
              <w:bottom w:val="single" w:sz="4" w:space="0" w:color="auto"/>
              <w:right w:val="single" w:sz="12" w:space="0" w:color="auto"/>
            </w:tcBorders>
            <w:hideMark/>
          </w:tcPr>
          <w:p w14:paraId="706B90C1" w14:textId="77777777" w:rsidR="00F8236B" w:rsidRPr="002C272D" w:rsidRDefault="00F8236B">
            <w:pPr>
              <w:pStyle w:val="Tabletext"/>
              <w:rPr>
                <w:rFonts w:asciiTheme="minorHAnsi" w:hAnsiTheme="minorHAnsi" w:cstheme="minorHAnsi"/>
                <w:sz w:val="24"/>
                <w:szCs w:val="24"/>
                <w:lang w:val="en-US"/>
              </w:rPr>
            </w:pPr>
            <w:hyperlink r:id="rId111"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 </w:t>
            </w:r>
          </w:p>
        </w:tc>
      </w:tr>
      <w:tr w:rsidR="00F8236B" w:rsidRPr="002C272D" w14:paraId="7B10B966"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0509EE6"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FECBD9D"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m2) Move all SG13 (future networks; mobility management; cloud computing and cloud-based platforms; trusted network infrastructures)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*)F</w:t>
            </w:r>
          </w:p>
        </w:tc>
        <w:tc>
          <w:tcPr>
            <w:tcW w:w="1560" w:type="dxa"/>
            <w:tcBorders>
              <w:top w:val="single" w:sz="4" w:space="0" w:color="auto"/>
              <w:left w:val="single" w:sz="4" w:space="0" w:color="auto"/>
              <w:bottom w:val="single" w:sz="4" w:space="0" w:color="auto"/>
              <w:right w:val="single" w:sz="4" w:space="0" w:color="auto"/>
            </w:tcBorders>
            <w:hideMark/>
          </w:tcPr>
          <w:p w14:paraId="783304A0"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*)F</w:t>
            </w:r>
          </w:p>
        </w:tc>
        <w:tc>
          <w:tcPr>
            <w:tcW w:w="2509" w:type="dxa"/>
            <w:tcBorders>
              <w:top w:val="single" w:sz="4" w:space="0" w:color="auto"/>
              <w:left w:val="single" w:sz="4" w:space="0" w:color="auto"/>
              <w:bottom w:val="single" w:sz="4" w:space="0" w:color="auto"/>
              <w:right w:val="single" w:sz="12" w:space="0" w:color="auto"/>
            </w:tcBorders>
            <w:hideMark/>
          </w:tcPr>
          <w:p w14:paraId="58457119" w14:textId="77777777" w:rsidR="00F8236B" w:rsidRPr="002C272D" w:rsidRDefault="00F8236B">
            <w:pPr>
              <w:pStyle w:val="Tabletext"/>
              <w:rPr>
                <w:rFonts w:asciiTheme="minorHAnsi" w:hAnsiTheme="minorHAnsi" w:cstheme="minorHAnsi"/>
                <w:sz w:val="24"/>
                <w:szCs w:val="24"/>
                <w:lang w:val="en-US"/>
              </w:rPr>
            </w:pPr>
            <w:hyperlink r:id="rId112"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467B7492"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BA57EC8"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6FD9AE5"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Move all SG13 (except for Q16/13) into epsilon</w:t>
            </w:r>
          </w:p>
        </w:tc>
        <w:tc>
          <w:tcPr>
            <w:tcW w:w="1560" w:type="dxa"/>
            <w:tcBorders>
              <w:top w:val="single" w:sz="4" w:space="0" w:color="auto"/>
              <w:left w:val="single" w:sz="4" w:space="0" w:color="auto"/>
              <w:bottom w:val="single" w:sz="4" w:space="0" w:color="auto"/>
              <w:right w:val="single" w:sz="4" w:space="0" w:color="auto"/>
            </w:tcBorders>
            <w:hideMark/>
          </w:tcPr>
          <w:p w14:paraId="6A2C0DAB"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epsilon</w:t>
            </w:r>
          </w:p>
        </w:tc>
        <w:tc>
          <w:tcPr>
            <w:tcW w:w="2509" w:type="dxa"/>
            <w:tcBorders>
              <w:top w:val="single" w:sz="4" w:space="0" w:color="auto"/>
              <w:left w:val="single" w:sz="4" w:space="0" w:color="auto"/>
              <w:bottom w:val="single" w:sz="4" w:space="0" w:color="auto"/>
              <w:right w:val="single" w:sz="12" w:space="0" w:color="auto"/>
            </w:tcBorders>
            <w:hideMark/>
          </w:tcPr>
          <w:p w14:paraId="37154817" w14:textId="77777777" w:rsidR="00F8236B" w:rsidRPr="002C272D" w:rsidRDefault="00F8236B">
            <w:pPr>
              <w:pStyle w:val="Tabletext"/>
              <w:rPr>
                <w:rFonts w:asciiTheme="minorHAnsi" w:hAnsiTheme="minorHAnsi" w:cstheme="minorHAnsi"/>
                <w:sz w:val="24"/>
                <w:szCs w:val="24"/>
                <w:lang w:val="en-US"/>
              </w:rPr>
            </w:pPr>
            <w:hyperlink r:id="rId113"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5CF68DD3"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933D331"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439C396"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7112197"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47427E5D"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62889044"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9ABC1E6"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D3A841F"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14:paraId="58EB84EF"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5E579F56"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4D58683D"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C135B5E"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DA4F6BE"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t1) Move Q16/13 into new eta</w:t>
            </w:r>
          </w:p>
        </w:tc>
        <w:tc>
          <w:tcPr>
            <w:tcW w:w="1560" w:type="dxa"/>
            <w:tcBorders>
              <w:top w:val="single" w:sz="4" w:space="0" w:color="auto"/>
              <w:left w:val="single" w:sz="4" w:space="0" w:color="auto"/>
              <w:bottom w:val="single" w:sz="4" w:space="0" w:color="auto"/>
              <w:right w:val="single" w:sz="4" w:space="0" w:color="auto"/>
            </w:tcBorders>
            <w:hideMark/>
          </w:tcPr>
          <w:p w14:paraId="3C9ACFCF"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eta</w:t>
            </w:r>
          </w:p>
        </w:tc>
        <w:tc>
          <w:tcPr>
            <w:tcW w:w="2509" w:type="dxa"/>
            <w:tcBorders>
              <w:top w:val="single" w:sz="4" w:space="0" w:color="auto"/>
              <w:left w:val="single" w:sz="4" w:space="0" w:color="auto"/>
              <w:bottom w:val="single" w:sz="4" w:space="0" w:color="auto"/>
              <w:right w:val="single" w:sz="12" w:space="0" w:color="auto"/>
            </w:tcBorders>
            <w:hideMark/>
          </w:tcPr>
          <w:p w14:paraId="1A230A8C" w14:textId="77777777" w:rsidR="00F8236B" w:rsidRPr="002C272D" w:rsidRDefault="00F8236B">
            <w:pPr>
              <w:pStyle w:val="Tabletext"/>
              <w:rPr>
                <w:rFonts w:asciiTheme="minorHAnsi" w:hAnsiTheme="minorHAnsi" w:cstheme="minorHAnsi"/>
                <w:sz w:val="24"/>
                <w:szCs w:val="24"/>
                <w:lang w:val="en-US"/>
              </w:rPr>
            </w:pPr>
            <w:hyperlink r:id="rId114"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7AFEDBC6"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3A3BBA8"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4B631185" w14:textId="77777777" w:rsidR="00F8236B" w:rsidRPr="00BE0454" w:rsidRDefault="00F8236B">
            <w:pPr>
              <w:pStyle w:val="Tabletext"/>
              <w:ind w:left="284"/>
              <w:rPr>
                <w:rFonts w:asciiTheme="minorHAnsi" w:hAnsiTheme="minorHAnsi" w:cstheme="minorHAnsi"/>
                <w:strike/>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32A3EDF7" w14:textId="77777777" w:rsidR="00F8236B" w:rsidRPr="00BE0454" w:rsidRDefault="00F8236B">
            <w:pPr>
              <w:pStyle w:val="Tabletext"/>
              <w:rPr>
                <w:rFonts w:asciiTheme="minorHAnsi" w:hAnsiTheme="minorHAnsi" w:cstheme="minorHAnsi"/>
                <w:strike/>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55ECDD9E" w14:textId="77777777" w:rsidR="00F8236B" w:rsidRPr="00BE0454" w:rsidRDefault="00F8236B">
            <w:pPr>
              <w:pStyle w:val="Tabletext"/>
              <w:rPr>
                <w:rFonts w:asciiTheme="minorHAnsi" w:hAnsiTheme="minorHAnsi" w:cstheme="minorHAnsi"/>
                <w:strike/>
                <w:sz w:val="24"/>
                <w:szCs w:val="24"/>
                <w:lang w:val="en-US"/>
              </w:rPr>
            </w:pPr>
          </w:p>
        </w:tc>
      </w:tr>
      <w:tr w:rsidR="00F8236B" w:rsidRPr="002C272D" w14:paraId="2037820E"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1E4231EB"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SG15</w:t>
            </w:r>
          </w:p>
        </w:tc>
        <w:tc>
          <w:tcPr>
            <w:tcW w:w="4565" w:type="dxa"/>
            <w:tcBorders>
              <w:top w:val="single" w:sz="4" w:space="0" w:color="auto"/>
              <w:left w:val="single" w:sz="4" w:space="0" w:color="auto"/>
              <w:bottom w:val="single" w:sz="4" w:space="0" w:color="auto"/>
              <w:right w:val="single" w:sz="4" w:space="0" w:color="auto"/>
            </w:tcBorders>
            <w:hideMark/>
          </w:tcPr>
          <w:p w14:paraId="6C81C8EE"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hideMark/>
          </w:tcPr>
          <w:p w14:paraId="4A063404"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SG(d)VI,</w:t>
            </w:r>
            <w:r w:rsidRPr="002C272D">
              <w:rPr>
                <w:rFonts w:asciiTheme="minorHAnsi" w:hAnsiTheme="minorHAnsi" w:cstheme="minorHAnsi"/>
                <w:sz w:val="24"/>
                <w:szCs w:val="24"/>
                <w:lang w:val="en-US"/>
              </w:rPr>
              <w:br/>
              <w:t>alpha</w:t>
            </w:r>
          </w:p>
          <w:p w14:paraId="6B066A79"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702F88CF" w14:textId="77777777" w:rsidR="00F8236B" w:rsidRPr="002C272D" w:rsidRDefault="00F8236B">
            <w:pPr>
              <w:pStyle w:val="Tabletext"/>
              <w:rPr>
                <w:rFonts w:asciiTheme="minorHAnsi" w:hAnsiTheme="minorHAnsi" w:cstheme="minorHAnsi"/>
                <w:sz w:val="24"/>
                <w:szCs w:val="24"/>
                <w:lang w:val="en-US"/>
              </w:rPr>
            </w:pPr>
            <w:hyperlink r:id="rId115"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 </w:t>
            </w:r>
            <w:r w:rsidRPr="002C272D">
              <w:rPr>
                <w:rFonts w:asciiTheme="minorHAnsi" w:hAnsiTheme="minorHAnsi" w:cstheme="minorHAnsi"/>
                <w:sz w:val="24"/>
                <w:szCs w:val="24"/>
                <w:lang w:val="en-US"/>
              </w:rPr>
              <w:br/>
            </w:r>
            <w:hyperlink r:id="rId116" w:history="1">
              <w:r w:rsidRPr="002C272D">
                <w:rPr>
                  <w:rStyle w:val="Hyperlink"/>
                  <w:rFonts w:asciiTheme="minorHAnsi" w:hAnsiTheme="minorHAnsi" w:cstheme="minorHAnsi"/>
                  <w:sz w:val="24"/>
                  <w:szCs w:val="24"/>
                  <w:lang w:val="en-US"/>
                </w:rPr>
                <w:t>С125</w:t>
              </w:r>
            </w:hyperlink>
            <w:r w:rsidRPr="002C272D">
              <w:rPr>
                <w:rFonts w:asciiTheme="minorHAnsi" w:hAnsiTheme="minorHAnsi" w:cstheme="minorHAnsi"/>
                <w:sz w:val="24"/>
                <w:szCs w:val="24"/>
                <w:lang w:val="en-US"/>
              </w:rPr>
              <w:t xml:space="preserve"> (Russia)</w:t>
            </w:r>
            <w:r w:rsidRPr="002C272D">
              <w:rPr>
                <w:rFonts w:asciiTheme="minorHAnsi" w:hAnsiTheme="minorHAnsi" w:cstheme="minorHAnsi"/>
                <w:sz w:val="24"/>
                <w:szCs w:val="24"/>
                <w:lang w:val="en-US"/>
              </w:rPr>
              <w:br/>
            </w:r>
            <w:hyperlink r:id="rId117" w:history="1">
              <w:r w:rsidRPr="002C272D">
                <w:rPr>
                  <w:rStyle w:val="Hyperlink"/>
                  <w:rFonts w:asciiTheme="minorHAnsi" w:hAnsiTheme="minorHAnsi" w:cstheme="minorHAnsi"/>
                  <w:sz w:val="24"/>
                  <w:szCs w:val="24"/>
                  <w:lang w:val="en-US"/>
                </w:rPr>
                <w:t>C155</w:t>
              </w:r>
            </w:hyperlink>
            <w:r w:rsidRPr="002C272D">
              <w:rPr>
                <w:rFonts w:asciiTheme="minorHAnsi" w:hAnsiTheme="minorHAnsi" w:cstheme="minorHAnsi"/>
                <w:sz w:val="24"/>
                <w:szCs w:val="24"/>
                <w:lang w:val="en-US"/>
              </w:rPr>
              <w:t xml:space="preserve"> (Broadcom)</w:t>
            </w:r>
          </w:p>
          <w:p w14:paraId="6AA059EB" w14:textId="77777777" w:rsidR="00F8236B" w:rsidRPr="002C272D" w:rsidRDefault="00F8236B">
            <w:pPr>
              <w:pStyle w:val="Tabletext"/>
              <w:rPr>
                <w:rFonts w:asciiTheme="minorHAnsi" w:hAnsiTheme="minorHAnsi" w:cstheme="minorHAnsi"/>
                <w:sz w:val="24"/>
                <w:szCs w:val="24"/>
                <w:lang w:val="en-US"/>
              </w:rPr>
            </w:pPr>
            <w:hyperlink r:id="rId118" w:history="1">
              <w:r w:rsidRPr="002C272D">
                <w:rPr>
                  <w:rStyle w:val="Hyperlink"/>
                  <w:rFonts w:asciiTheme="minorHAnsi" w:hAnsiTheme="minorHAnsi" w:cstheme="minorHAnsi"/>
                  <w:sz w:val="24"/>
                  <w:szCs w:val="24"/>
                  <w:lang w:val="en-US"/>
                </w:rPr>
                <w:t>RGWP-C1</w:t>
              </w:r>
            </w:hyperlink>
            <w:r w:rsidRPr="002C272D">
              <w:rPr>
                <w:rFonts w:asciiTheme="minorHAnsi" w:hAnsiTheme="minorHAnsi" w:cstheme="minorHAnsi"/>
                <w:sz w:val="24"/>
                <w:szCs w:val="24"/>
                <w:lang w:val="en-US"/>
              </w:rPr>
              <w:t xml:space="preserve"> (Mexico)</w:t>
            </w:r>
          </w:p>
          <w:p w14:paraId="24A67BCB" w14:textId="77777777" w:rsidR="00F8236B" w:rsidRPr="002C272D" w:rsidRDefault="00F8236B">
            <w:pPr>
              <w:pStyle w:val="Tabletext"/>
              <w:rPr>
                <w:rFonts w:asciiTheme="minorHAnsi" w:hAnsiTheme="minorHAnsi" w:cstheme="minorHAnsi"/>
                <w:sz w:val="24"/>
                <w:szCs w:val="24"/>
                <w:lang w:val="en-US"/>
              </w:rPr>
            </w:pPr>
            <w:hyperlink r:id="rId119"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p w14:paraId="21E7D20C" w14:textId="77777777" w:rsidR="00F8236B" w:rsidRPr="002C272D" w:rsidRDefault="00F8236B">
            <w:pPr>
              <w:pStyle w:val="Tabletext"/>
              <w:rPr>
                <w:rFonts w:asciiTheme="minorHAnsi" w:hAnsiTheme="minorHAnsi" w:cstheme="minorHAnsi"/>
                <w:sz w:val="24"/>
                <w:szCs w:val="24"/>
                <w:lang w:val="en-US"/>
              </w:rPr>
            </w:pPr>
            <w:hyperlink r:id="rId120"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p w14:paraId="5571CBC8" w14:textId="77777777" w:rsidR="00F8236B" w:rsidRPr="002C272D" w:rsidRDefault="00F8236B">
            <w:pPr>
              <w:pStyle w:val="Tabletext"/>
              <w:rPr>
                <w:rFonts w:asciiTheme="minorHAnsi" w:hAnsiTheme="minorHAnsi" w:cstheme="minorHAnsi"/>
                <w:sz w:val="24"/>
                <w:szCs w:val="24"/>
                <w:lang w:val="en-US"/>
              </w:rPr>
            </w:pPr>
            <w:hyperlink r:id="rId121"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09A3A50E" w14:textId="77777777" w:rsidR="00F8236B" w:rsidRPr="002C272D" w:rsidRDefault="00F8236B">
            <w:pPr>
              <w:pStyle w:val="Tabletext"/>
              <w:rPr>
                <w:rFonts w:asciiTheme="minorHAnsi" w:hAnsiTheme="minorHAnsi" w:cstheme="minorHAnsi"/>
                <w:sz w:val="24"/>
                <w:szCs w:val="24"/>
                <w:lang w:val="en-US"/>
              </w:rPr>
            </w:pPr>
            <w:hyperlink r:id="rId122"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p w14:paraId="65FFC50D" w14:textId="77777777" w:rsidR="00F8236B" w:rsidRPr="002C272D" w:rsidRDefault="00F8236B">
            <w:pPr>
              <w:pStyle w:val="Tabletext"/>
              <w:rPr>
                <w:rFonts w:asciiTheme="minorHAnsi" w:hAnsiTheme="minorHAnsi" w:cstheme="minorHAnsi"/>
                <w:sz w:val="24"/>
                <w:szCs w:val="24"/>
                <w:lang w:val="en-US"/>
              </w:rPr>
            </w:pPr>
            <w:hyperlink r:id="rId123"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3BBC9AC1"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C851002"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67C3C3B0" w14:textId="77777777" w:rsidR="00F8236B" w:rsidRPr="002C272D" w:rsidRDefault="00F8236B">
            <w:pPr>
              <w:pStyle w:val="Tabletext"/>
              <w:ind w:left="284"/>
              <w:rPr>
                <w:rFonts w:asciiTheme="minorHAnsi" w:hAnsiTheme="minorHAnsi" w:cstheme="minorHAnsi"/>
                <w:i/>
                <w:iCs/>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5C372229"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4A2655F6"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31D6BAE2"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4D89B687"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SG16</w:t>
            </w:r>
          </w:p>
        </w:tc>
        <w:tc>
          <w:tcPr>
            <w:tcW w:w="4565" w:type="dxa"/>
            <w:tcBorders>
              <w:top w:val="single" w:sz="4" w:space="0" w:color="auto"/>
              <w:left w:val="single" w:sz="4" w:space="0" w:color="auto"/>
              <w:bottom w:val="single" w:sz="4" w:space="0" w:color="auto"/>
              <w:right w:val="single" w:sz="4" w:space="0" w:color="auto"/>
            </w:tcBorders>
            <w:hideMark/>
          </w:tcPr>
          <w:p w14:paraId="372C3FC5"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14:paraId="37974388"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41067F83" w14:textId="77777777" w:rsidR="00F8236B" w:rsidRPr="002C272D" w:rsidRDefault="00F8236B">
            <w:pPr>
              <w:pStyle w:val="Tabletext"/>
              <w:rPr>
                <w:rFonts w:asciiTheme="minorHAnsi" w:hAnsiTheme="minorHAnsi" w:cstheme="minorHAnsi"/>
                <w:sz w:val="24"/>
                <w:szCs w:val="24"/>
                <w:lang w:val="fr-FR"/>
              </w:rPr>
            </w:pPr>
            <w:hyperlink r:id="rId124" w:history="1">
              <w:r w:rsidRPr="002C272D">
                <w:rPr>
                  <w:rStyle w:val="Hyperlink"/>
                  <w:rFonts w:asciiTheme="minorHAnsi" w:hAnsiTheme="minorHAnsi" w:cstheme="minorHAnsi"/>
                  <w:sz w:val="24"/>
                  <w:szCs w:val="24"/>
                  <w:lang w:val="fr-FR"/>
                </w:rPr>
                <w:t>C105-R1</w:t>
              </w:r>
            </w:hyperlink>
            <w:r w:rsidRPr="002C272D">
              <w:rPr>
                <w:rFonts w:asciiTheme="minorHAnsi" w:hAnsiTheme="minorHAnsi" w:cstheme="minorHAnsi"/>
                <w:sz w:val="24"/>
                <w:szCs w:val="24"/>
                <w:lang w:val="fr-FR"/>
              </w:rPr>
              <w:t xml:space="preserve"> (Huawei et al.)</w:t>
            </w:r>
          </w:p>
          <w:p w14:paraId="3156ACE4" w14:textId="77777777" w:rsidR="00F8236B" w:rsidRPr="002C272D" w:rsidRDefault="00F8236B">
            <w:pPr>
              <w:pStyle w:val="Tabletext"/>
              <w:rPr>
                <w:rFonts w:asciiTheme="minorHAnsi" w:hAnsiTheme="minorHAnsi" w:cstheme="minorHAnsi"/>
                <w:sz w:val="24"/>
                <w:szCs w:val="24"/>
                <w:lang w:val="en-US"/>
              </w:rPr>
            </w:pPr>
            <w:hyperlink r:id="rId125"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65337AAC" w14:textId="77777777" w:rsidR="00F8236B" w:rsidRPr="002C272D" w:rsidRDefault="00F8236B">
            <w:pPr>
              <w:pStyle w:val="Tabletext"/>
              <w:rPr>
                <w:rFonts w:asciiTheme="minorHAnsi" w:hAnsiTheme="minorHAnsi" w:cstheme="minorHAnsi"/>
                <w:sz w:val="24"/>
                <w:szCs w:val="24"/>
                <w:lang w:val="en-US"/>
              </w:rPr>
            </w:pPr>
            <w:hyperlink r:id="rId126"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p w14:paraId="02F5FC25" w14:textId="77777777" w:rsidR="00F8236B" w:rsidRPr="002C272D" w:rsidRDefault="00F8236B">
            <w:pPr>
              <w:pStyle w:val="Tabletext"/>
              <w:rPr>
                <w:rFonts w:asciiTheme="minorHAnsi" w:hAnsiTheme="minorHAnsi" w:cstheme="minorHAnsi"/>
                <w:sz w:val="24"/>
                <w:szCs w:val="24"/>
                <w:lang w:val="en-US"/>
              </w:rPr>
            </w:pPr>
            <w:hyperlink r:id="rId127"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43FCA4D6"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5CC46B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8C1F0C9"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233F3719"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4B317905" w14:textId="77777777" w:rsidR="00F8236B" w:rsidRPr="002C272D" w:rsidRDefault="00F8236B">
            <w:pPr>
              <w:pStyle w:val="Tabletext"/>
              <w:rPr>
                <w:rFonts w:asciiTheme="minorHAnsi" w:hAnsiTheme="minorHAnsi" w:cstheme="minorHAnsi"/>
                <w:sz w:val="24"/>
                <w:szCs w:val="24"/>
                <w:lang w:val="fr-FR"/>
              </w:rPr>
            </w:pPr>
          </w:p>
        </w:tc>
      </w:tr>
      <w:tr w:rsidR="00F8236B" w:rsidRPr="002C272D" w14:paraId="1B5CC2D8"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E4C6E6C"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535066A"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sz w:val="24"/>
                <w:szCs w:val="24"/>
                <w:lang w:val="en-US"/>
              </w:rPr>
              <w:t>m1) merge SG9+SG16</w:t>
            </w:r>
          </w:p>
        </w:tc>
        <w:tc>
          <w:tcPr>
            <w:tcW w:w="1560" w:type="dxa"/>
            <w:tcBorders>
              <w:top w:val="single" w:sz="4" w:space="0" w:color="auto"/>
              <w:left w:val="single" w:sz="4" w:space="0" w:color="auto"/>
              <w:bottom w:val="single" w:sz="4" w:space="0" w:color="auto"/>
              <w:right w:val="single" w:sz="4" w:space="0" w:color="auto"/>
            </w:tcBorders>
          </w:tcPr>
          <w:p w14:paraId="3E4400E7"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51E36313" w14:textId="77777777" w:rsidR="00F8236B" w:rsidRPr="002C272D" w:rsidRDefault="00F8236B">
            <w:pPr>
              <w:pStyle w:val="Tabletext"/>
              <w:rPr>
                <w:rFonts w:asciiTheme="minorHAnsi" w:hAnsiTheme="minorHAnsi" w:cstheme="minorHAnsi"/>
                <w:sz w:val="24"/>
                <w:szCs w:val="24"/>
                <w:lang w:val="fr-FR"/>
              </w:rPr>
            </w:pPr>
            <w:hyperlink r:id="rId128" w:history="1">
              <w:r w:rsidRPr="002C272D">
                <w:rPr>
                  <w:rStyle w:val="Hyperlink"/>
                  <w:rFonts w:asciiTheme="minorHAnsi" w:hAnsiTheme="minorHAnsi" w:cstheme="minorHAnsi"/>
                  <w:sz w:val="24"/>
                  <w:szCs w:val="24"/>
                  <w:lang w:val="en-US"/>
                </w:rPr>
                <w:t>RGWP-C1</w:t>
              </w:r>
            </w:hyperlink>
            <w:r w:rsidRPr="002C272D">
              <w:rPr>
                <w:rFonts w:asciiTheme="minorHAnsi" w:hAnsiTheme="minorHAnsi" w:cstheme="minorHAnsi"/>
                <w:sz w:val="24"/>
                <w:szCs w:val="24"/>
                <w:lang w:val="en-US"/>
              </w:rPr>
              <w:t xml:space="preserve"> (Mexico)</w:t>
            </w:r>
          </w:p>
        </w:tc>
      </w:tr>
      <w:tr w:rsidR="00F8236B" w:rsidRPr="002C272D" w14:paraId="19C22F90"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0ABA45F"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3CDAA6C" w14:textId="77777777" w:rsidR="00F8236B" w:rsidRPr="002C272D" w:rsidRDefault="00F8236B">
            <w:pPr>
              <w:pStyle w:val="Tabletext"/>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40FF03C"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5280296E"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71C5BCD2"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9A76F8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76F053B"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14:paraId="39288B31"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637099B6"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4B0C2933"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9E9BF1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754F0D5"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t1) Move digital services part of SG16 (Health, Transport, Finance – WP2/16) into new SG (d)II (SG16+SG20)</w:t>
            </w:r>
          </w:p>
        </w:tc>
        <w:tc>
          <w:tcPr>
            <w:tcW w:w="1560" w:type="dxa"/>
            <w:tcBorders>
              <w:top w:val="single" w:sz="4" w:space="0" w:color="auto"/>
              <w:left w:val="single" w:sz="4" w:space="0" w:color="auto"/>
              <w:bottom w:val="single" w:sz="4" w:space="0" w:color="auto"/>
              <w:right w:val="single" w:sz="4" w:space="0" w:color="auto"/>
            </w:tcBorders>
            <w:hideMark/>
          </w:tcPr>
          <w:p w14:paraId="00A7F18D"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SGdII</w:t>
            </w:r>
          </w:p>
        </w:tc>
        <w:tc>
          <w:tcPr>
            <w:tcW w:w="2509" w:type="dxa"/>
            <w:tcBorders>
              <w:top w:val="single" w:sz="4" w:space="0" w:color="auto"/>
              <w:left w:val="single" w:sz="4" w:space="0" w:color="auto"/>
              <w:bottom w:val="single" w:sz="4" w:space="0" w:color="auto"/>
              <w:right w:val="single" w:sz="12" w:space="0" w:color="auto"/>
            </w:tcBorders>
            <w:hideMark/>
          </w:tcPr>
          <w:p w14:paraId="45EA5D5A" w14:textId="77777777" w:rsidR="00F8236B" w:rsidRPr="002C272D" w:rsidRDefault="00F8236B">
            <w:pPr>
              <w:pStyle w:val="Tabletext"/>
              <w:rPr>
                <w:rFonts w:asciiTheme="minorHAnsi" w:hAnsiTheme="minorHAnsi" w:cstheme="minorHAnsi"/>
                <w:sz w:val="24"/>
                <w:szCs w:val="24"/>
                <w:lang w:val="en-US"/>
              </w:rPr>
            </w:pPr>
            <w:hyperlink r:id="rId129"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 </w:t>
            </w:r>
          </w:p>
        </w:tc>
      </w:tr>
      <w:tr w:rsidR="00F8236B" w:rsidRPr="002C272D" w14:paraId="6889F0F7"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C95773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D0B9C8C"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t2) Move remaining parts of SG16 (MM Content delivery, MM coding, MM Terminals – WP1 and 3/16) into new SG (d) I (SG9+SG16)</w:t>
            </w:r>
          </w:p>
        </w:tc>
        <w:tc>
          <w:tcPr>
            <w:tcW w:w="1560" w:type="dxa"/>
            <w:tcBorders>
              <w:top w:val="single" w:sz="4" w:space="0" w:color="auto"/>
              <w:left w:val="single" w:sz="4" w:space="0" w:color="auto"/>
              <w:bottom w:val="single" w:sz="4" w:space="0" w:color="auto"/>
              <w:right w:val="single" w:sz="4" w:space="0" w:color="auto"/>
            </w:tcBorders>
            <w:hideMark/>
          </w:tcPr>
          <w:p w14:paraId="418194B4"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w:t>
            </w:r>
          </w:p>
        </w:tc>
        <w:tc>
          <w:tcPr>
            <w:tcW w:w="2509" w:type="dxa"/>
            <w:tcBorders>
              <w:top w:val="single" w:sz="4" w:space="0" w:color="auto"/>
              <w:left w:val="single" w:sz="4" w:space="0" w:color="auto"/>
              <w:bottom w:val="single" w:sz="4" w:space="0" w:color="auto"/>
              <w:right w:val="single" w:sz="12" w:space="0" w:color="auto"/>
            </w:tcBorders>
            <w:hideMark/>
          </w:tcPr>
          <w:p w14:paraId="2332A252" w14:textId="77777777" w:rsidR="00F8236B" w:rsidRPr="002C272D" w:rsidRDefault="00F8236B">
            <w:pPr>
              <w:pStyle w:val="Tabletext"/>
              <w:rPr>
                <w:rFonts w:asciiTheme="minorHAnsi" w:hAnsiTheme="minorHAnsi" w:cstheme="minorHAnsi"/>
                <w:sz w:val="24"/>
                <w:szCs w:val="24"/>
                <w:lang w:val="en-US"/>
              </w:rPr>
            </w:pPr>
            <w:hyperlink r:id="rId130"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 </w:t>
            </w:r>
          </w:p>
        </w:tc>
      </w:tr>
      <w:tr w:rsidR="00F8236B" w:rsidRPr="002C272D" w14:paraId="7449D3DD"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EEE1105"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E0FA5C3"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t3) Move all SG16 work except for ubiquitous multimedia applications to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*)D</w:t>
            </w:r>
          </w:p>
        </w:tc>
        <w:tc>
          <w:tcPr>
            <w:tcW w:w="1560" w:type="dxa"/>
            <w:tcBorders>
              <w:top w:val="single" w:sz="4" w:space="0" w:color="auto"/>
              <w:left w:val="single" w:sz="4" w:space="0" w:color="auto"/>
              <w:bottom w:val="single" w:sz="4" w:space="0" w:color="auto"/>
              <w:right w:val="single" w:sz="4" w:space="0" w:color="auto"/>
            </w:tcBorders>
            <w:hideMark/>
          </w:tcPr>
          <w:p w14:paraId="1957057B"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*)D</w:t>
            </w:r>
          </w:p>
        </w:tc>
        <w:tc>
          <w:tcPr>
            <w:tcW w:w="2509" w:type="dxa"/>
            <w:tcBorders>
              <w:top w:val="single" w:sz="4" w:space="0" w:color="auto"/>
              <w:left w:val="single" w:sz="4" w:space="0" w:color="auto"/>
              <w:bottom w:val="single" w:sz="4" w:space="0" w:color="auto"/>
              <w:right w:val="single" w:sz="12" w:space="0" w:color="auto"/>
            </w:tcBorders>
            <w:hideMark/>
          </w:tcPr>
          <w:p w14:paraId="3A79F8C8" w14:textId="77777777" w:rsidR="00F8236B" w:rsidRPr="002C272D" w:rsidRDefault="00F8236B">
            <w:pPr>
              <w:pStyle w:val="Tabletext"/>
              <w:rPr>
                <w:rFonts w:asciiTheme="minorHAnsi" w:hAnsiTheme="minorHAnsi" w:cstheme="minorHAnsi"/>
                <w:sz w:val="24"/>
                <w:szCs w:val="24"/>
                <w:lang w:val="en-US"/>
              </w:rPr>
            </w:pPr>
            <w:hyperlink r:id="rId131"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06AE62D6"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F51C2DD"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EAD829D"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t4) Move ubiquitous multimedia applications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*)F</w:t>
            </w:r>
          </w:p>
        </w:tc>
        <w:tc>
          <w:tcPr>
            <w:tcW w:w="1560" w:type="dxa"/>
            <w:tcBorders>
              <w:top w:val="single" w:sz="4" w:space="0" w:color="auto"/>
              <w:left w:val="single" w:sz="4" w:space="0" w:color="auto"/>
              <w:bottom w:val="single" w:sz="4" w:space="0" w:color="auto"/>
              <w:right w:val="single" w:sz="4" w:space="0" w:color="auto"/>
            </w:tcBorders>
            <w:hideMark/>
          </w:tcPr>
          <w:p w14:paraId="31786AD9"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*)F</w:t>
            </w:r>
          </w:p>
        </w:tc>
        <w:tc>
          <w:tcPr>
            <w:tcW w:w="2509" w:type="dxa"/>
            <w:tcBorders>
              <w:top w:val="single" w:sz="4" w:space="0" w:color="auto"/>
              <w:left w:val="single" w:sz="4" w:space="0" w:color="auto"/>
              <w:bottom w:val="single" w:sz="4" w:space="0" w:color="auto"/>
              <w:right w:val="single" w:sz="12" w:space="0" w:color="auto"/>
            </w:tcBorders>
            <w:hideMark/>
          </w:tcPr>
          <w:p w14:paraId="73A7C7F1" w14:textId="77777777" w:rsidR="00F8236B" w:rsidRPr="002C272D" w:rsidRDefault="00F8236B">
            <w:pPr>
              <w:pStyle w:val="Tabletext"/>
              <w:rPr>
                <w:rFonts w:asciiTheme="minorHAnsi" w:hAnsiTheme="minorHAnsi" w:cstheme="minorHAnsi"/>
                <w:sz w:val="24"/>
                <w:szCs w:val="24"/>
                <w:lang w:val="en-US"/>
              </w:rPr>
            </w:pPr>
            <w:hyperlink r:id="rId132"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5AECD9DA"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B127000"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D5F9C0C" w14:textId="77777777" w:rsidR="00F8236B" w:rsidRPr="002C272D" w:rsidRDefault="00F8236B">
            <w:pPr>
              <w:pStyle w:val="Tabletext"/>
              <w:ind w:left="312"/>
              <w:rPr>
                <w:rFonts w:asciiTheme="minorHAnsi" w:hAnsiTheme="minorHAnsi" w:cstheme="minorHAnsi"/>
                <w:sz w:val="24"/>
                <w:szCs w:val="24"/>
                <w:lang w:val="en-US"/>
              </w:rPr>
            </w:pPr>
            <w:r w:rsidRPr="002C272D">
              <w:rPr>
                <w:rFonts w:asciiTheme="minorHAnsi" w:hAnsiTheme="minorHAnsi" w:cstheme="minorHAnsi"/>
                <w:sz w:val="24"/>
                <w:szCs w:val="24"/>
                <w:lang w:val="en-US"/>
              </w:rPr>
              <w:t>t5) Move WP1/16 and 3/16 into new delta</w:t>
            </w:r>
          </w:p>
        </w:tc>
        <w:tc>
          <w:tcPr>
            <w:tcW w:w="1560" w:type="dxa"/>
            <w:tcBorders>
              <w:top w:val="single" w:sz="4" w:space="0" w:color="auto"/>
              <w:left w:val="single" w:sz="4" w:space="0" w:color="auto"/>
              <w:bottom w:val="single" w:sz="4" w:space="0" w:color="auto"/>
              <w:right w:val="single" w:sz="4" w:space="0" w:color="auto"/>
            </w:tcBorders>
            <w:hideMark/>
          </w:tcPr>
          <w:p w14:paraId="17F24F81"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delta</w:t>
            </w:r>
          </w:p>
        </w:tc>
        <w:tc>
          <w:tcPr>
            <w:tcW w:w="2509" w:type="dxa"/>
            <w:tcBorders>
              <w:top w:val="single" w:sz="4" w:space="0" w:color="auto"/>
              <w:left w:val="single" w:sz="4" w:space="0" w:color="auto"/>
              <w:bottom w:val="single" w:sz="4" w:space="0" w:color="auto"/>
              <w:right w:val="single" w:sz="12" w:space="0" w:color="auto"/>
            </w:tcBorders>
            <w:hideMark/>
          </w:tcPr>
          <w:p w14:paraId="45E0C4DB" w14:textId="77777777" w:rsidR="00F8236B" w:rsidRPr="002C272D" w:rsidRDefault="00F8236B">
            <w:pPr>
              <w:pStyle w:val="Tabletext"/>
              <w:rPr>
                <w:rFonts w:asciiTheme="minorHAnsi" w:hAnsiTheme="minorHAnsi" w:cstheme="minorHAnsi"/>
                <w:sz w:val="24"/>
                <w:szCs w:val="24"/>
                <w:lang w:val="en-US"/>
              </w:rPr>
            </w:pPr>
            <w:hyperlink r:id="rId133"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4E7A575B"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B6E674C"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57DA60C" w14:textId="77777777" w:rsidR="00F8236B" w:rsidRPr="002C272D" w:rsidRDefault="00F8236B">
            <w:pPr>
              <w:pStyle w:val="Tabletext"/>
              <w:ind w:left="312"/>
              <w:rPr>
                <w:rFonts w:asciiTheme="minorHAnsi" w:hAnsiTheme="minorHAnsi" w:cstheme="minorHAnsi"/>
                <w:sz w:val="24"/>
                <w:szCs w:val="24"/>
                <w:lang w:val="en-US"/>
              </w:rPr>
            </w:pPr>
            <w:r w:rsidRPr="002C272D">
              <w:rPr>
                <w:rFonts w:asciiTheme="minorHAnsi" w:hAnsiTheme="minorHAnsi" w:cstheme="minorHAnsi"/>
                <w:sz w:val="24"/>
                <w:szCs w:val="24"/>
                <w:lang w:val="en-US"/>
              </w:rPr>
              <w:t>t6) Move WP2/16 into new theta</w:t>
            </w:r>
          </w:p>
        </w:tc>
        <w:tc>
          <w:tcPr>
            <w:tcW w:w="1560" w:type="dxa"/>
            <w:tcBorders>
              <w:top w:val="single" w:sz="4" w:space="0" w:color="auto"/>
              <w:left w:val="single" w:sz="4" w:space="0" w:color="auto"/>
              <w:bottom w:val="single" w:sz="4" w:space="0" w:color="auto"/>
              <w:right w:val="single" w:sz="4" w:space="0" w:color="auto"/>
            </w:tcBorders>
            <w:hideMark/>
          </w:tcPr>
          <w:p w14:paraId="20581997"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theta</w:t>
            </w:r>
          </w:p>
        </w:tc>
        <w:tc>
          <w:tcPr>
            <w:tcW w:w="2509" w:type="dxa"/>
            <w:tcBorders>
              <w:top w:val="single" w:sz="4" w:space="0" w:color="auto"/>
              <w:left w:val="single" w:sz="4" w:space="0" w:color="auto"/>
              <w:bottom w:val="single" w:sz="4" w:space="0" w:color="auto"/>
              <w:right w:val="single" w:sz="12" w:space="0" w:color="auto"/>
            </w:tcBorders>
            <w:hideMark/>
          </w:tcPr>
          <w:p w14:paraId="6EDA79AA" w14:textId="77777777" w:rsidR="00F8236B" w:rsidRPr="002C272D" w:rsidRDefault="00F8236B">
            <w:pPr>
              <w:pStyle w:val="Tabletext"/>
              <w:rPr>
                <w:rFonts w:asciiTheme="minorHAnsi" w:hAnsiTheme="minorHAnsi" w:cstheme="minorHAnsi"/>
                <w:sz w:val="24"/>
                <w:szCs w:val="24"/>
                <w:lang w:val="en-US"/>
              </w:rPr>
            </w:pPr>
            <w:hyperlink r:id="rId134"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39910338"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6762DC7"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3EC6FE77" w14:textId="77777777" w:rsidR="00F8236B" w:rsidRPr="002C272D" w:rsidRDefault="00F8236B">
            <w:pPr>
              <w:pStyle w:val="Tabletext"/>
              <w:ind w:left="312"/>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731CE688"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36C4DE4D"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440FCAE0"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B354D9E"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16EF6AD0" w14:textId="77777777" w:rsidR="00F8236B" w:rsidRPr="002C272D" w:rsidRDefault="00F8236B">
            <w:pPr>
              <w:pStyle w:val="Tabletext"/>
              <w:ind w:left="312"/>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79E15AD1"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5565F90A"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2C7110D5" w14:textId="77777777"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14:paraId="2CE6CFD7"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SG17</w:t>
            </w:r>
          </w:p>
        </w:tc>
        <w:tc>
          <w:tcPr>
            <w:tcW w:w="4565" w:type="dxa"/>
            <w:tcBorders>
              <w:top w:val="single" w:sz="4" w:space="0" w:color="auto"/>
              <w:left w:val="single" w:sz="4" w:space="0" w:color="auto"/>
              <w:bottom w:val="single" w:sz="4" w:space="0" w:color="auto"/>
              <w:right w:val="single" w:sz="4" w:space="0" w:color="auto"/>
            </w:tcBorders>
            <w:hideMark/>
          </w:tcPr>
          <w:p w14:paraId="2DC02421"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hideMark/>
          </w:tcPr>
          <w:p w14:paraId="3F36C23B"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32C62CC6" w14:textId="77777777" w:rsidR="00F8236B" w:rsidRPr="002C272D" w:rsidRDefault="00F8236B">
            <w:pPr>
              <w:pStyle w:val="Tabletext"/>
              <w:rPr>
                <w:rFonts w:asciiTheme="minorHAnsi" w:hAnsiTheme="minorHAnsi" w:cstheme="minorHAnsi"/>
                <w:sz w:val="24"/>
                <w:szCs w:val="24"/>
                <w:lang w:val="en-US"/>
              </w:rPr>
            </w:pPr>
            <w:hyperlink r:id="rId135" w:history="1">
              <w:r w:rsidRPr="002C272D">
                <w:rPr>
                  <w:rStyle w:val="Hyperlink"/>
                  <w:rFonts w:asciiTheme="minorHAnsi" w:hAnsiTheme="minorHAnsi" w:cstheme="minorHAnsi"/>
                  <w:sz w:val="24"/>
                  <w:szCs w:val="24"/>
                  <w:lang w:val="en-US"/>
                </w:rPr>
                <w:t>С125</w:t>
              </w:r>
            </w:hyperlink>
            <w:r w:rsidRPr="002C272D">
              <w:rPr>
                <w:rFonts w:asciiTheme="minorHAnsi" w:hAnsiTheme="minorHAnsi" w:cstheme="minorHAnsi"/>
                <w:sz w:val="24"/>
                <w:szCs w:val="24"/>
                <w:lang w:val="en-US"/>
              </w:rPr>
              <w:t xml:space="preserve"> (Russia)</w:t>
            </w:r>
          </w:p>
          <w:p w14:paraId="77B06B83" w14:textId="77777777" w:rsidR="00F8236B" w:rsidRPr="002C272D" w:rsidRDefault="00F8236B">
            <w:pPr>
              <w:pStyle w:val="Tabletext"/>
              <w:rPr>
                <w:rFonts w:asciiTheme="minorHAnsi" w:hAnsiTheme="minorHAnsi" w:cstheme="minorHAnsi"/>
                <w:sz w:val="24"/>
                <w:szCs w:val="24"/>
                <w:lang w:val="en-US"/>
              </w:rPr>
            </w:pPr>
            <w:hyperlink r:id="rId136" w:history="1">
              <w:r w:rsidRPr="002C272D">
                <w:rPr>
                  <w:rStyle w:val="Hyperlink"/>
                  <w:rFonts w:asciiTheme="minorHAnsi" w:hAnsiTheme="minorHAnsi" w:cstheme="minorHAnsi"/>
                  <w:sz w:val="24"/>
                  <w:szCs w:val="24"/>
                  <w:lang w:val="en-US"/>
                </w:rPr>
                <w:t>RGWP-C1</w:t>
              </w:r>
            </w:hyperlink>
            <w:r w:rsidRPr="002C272D">
              <w:rPr>
                <w:rFonts w:asciiTheme="minorHAnsi" w:hAnsiTheme="minorHAnsi" w:cstheme="minorHAnsi"/>
                <w:sz w:val="24"/>
                <w:szCs w:val="24"/>
                <w:lang w:val="en-US"/>
              </w:rPr>
              <w:t xml:space="preserve"> (Mexico)</w:t>
            </w:r>
          </w:p>
          <w:p w14:paraId="46197AA6" w14:textId="77777777" w:rsidR="00F8236B" w:rsidRPr="002C272D" w:rsidRDefault="00F8236B">
            <w:pPr>
              <w:pStyle w:val="Tabletext"/>
              <w:rPr>
                <w:rFonts w:asciiTheme="minorHAnsi" w:hAnsiTheme="minorHAnsi" w:cstheme="minorHAnsi"/>
                <w:sz w:val="24"/>
                <w:szCs w:val="24"/>
                <w:lang w:val="en-US"/>
              </w:rPr>
            </w:pPr>
            <w:hyperlink r:id="rId137"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5A830819" w14:textId="77777777" w:rsidR="00F8236B" w:rsidRPr="002C272D" w:rsidRDefault="00F8236B">
            <w:pPr>
              <w:pStyle w:val="Tabletext"/>
              <w:rPr>
                <w:rFonts w:asciiTheme="minorHAnsi" w:hAnsiTheme="minorHAnsi" w:cstheme="minorHAnsi"/>
                <w:sz w:val="24"/>
                <w:szCs w:val="24"/>
                <w:lang w:val="en-US"/>
              </w:rPr>
            </w:pPr>
            <w:hyperlink r:id="rId138" w:history="1">
              <w:r w:rsidRPr="002C272D">
                <w:rPr>
                  <w:rStyle w:val="Hyperlink"/>
                  <w:rFonts w:asciiTheme="minorHAnsi" w:hAnsiTheme="minorHAnsi" w:cstheme="minorHAnsi"/>
                  <w:sz w:val="24"/>
                  <w:szCs w:val="24"/>
                  <w:lang w:val="en-US"/>
                </w:rPr>
                <w:t>C155</w:t>
              </w:r>
            </w:hyperlink>
            <w:r w:rsidRPr="002C272D">
              <w:rPr>
                <w:rFonts w:asciiTheme="minorHAnsi" w:hAnsiTheme="minorHAnsi" w:cstheme="minorHAnsi"/>
                <w:sz w:val="24"/>
                <w:szCs w:val="24"/>
                <w:lang w:val="en-US"/>
              </w:rPr>
              <w:t xml:space="preserve"> (Broadcom)</w:t>
            </w:r>
          </w:p>
          <w:p w14:paraId="6FDA8018" w14:textId="77777777" w:rsidR="00F8236B" w:rsidRPr="002C272D" w:rsidRDefault="00F8236B">
            <w:pPr>
              <w:pStyle w:val="Tabletext"/>
              <w:rPr>
                <w:rFonts w:asciiTheme="minorHAnsi" w:hAnsiTheme="minorHAnsi" w:cstheme="minorHAnsi"/>
                <w:sz w:val="24"/>
                <w:szCs w:val="24"/>
                <w:lang w:val="en-US"/>
              </w:rPr>
            </w:pPr>
            <w:hyperlink r:id="rId139"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455F6984"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89F7574"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8698DD9"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r1) Contain all security work in a single SG</w:t>
            </w:r>
          </w:p>
        </w:tc>
        <w:tc>
          <w:tcPr>
            <w:tcW w:w="1560" w:type="dxa"/>
            <w:tcBorders>
              <w:top w:val="single" w:sz="4" w:space="0" w:color="auto"/>
              <w:left w:val="single" w:sz="4" w:space="0" w:color="auto"/>
              <w:bottom w:val="single" w:sz="4" w:space="0" w:color="auto"/>
              <w:right w:val="single" w:sz="4" w:space="0" w:color="auto"/>
            </w:tcBorders>
          </w:tcPr>
          <w:p w14:paraId="3473AC34"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54A20FB8" w14:textId="77777777" w:rsidR="00F8236B" w:rsidRPr="002C272D" w:rsidRDefault="00F8236B">
            <w:pPr>
              <w:pStyle w:val="Tabletext"/>
              <w:rPr>
                <w:rFonts w:asciiTheme="minorHAnsi" w:hAnsiTheme="minorHAnsi" w:cstheme="minorHAnsi"/>
                <w:sz w:val="24"/>
                <w:szCs w:val="24"/>
                <w:lang w:val="en-US"/>
              </w:rPr>
            </w:pPr>
            <w:hyperlink r:id="rId140" w:history="1">
              <w:r w:rsidRPr="002C272D">
                <w:rPr>
                  <w:rStyle w:val="Hyperlink"/>
                  <w:rFonts w:asciiTheme="minorHAnsi" w:hAnsiTheme="minorHAnsi" w:cstheme="minorHAnsi"/>
                  <w:sz w:val="24"/>
                  <w:szCs w:val="24"/>
                  <w:lang w:val="en-US"/>
                </w:rPr>
                <w:t>C155</w:t>
              </w:r>
            </w:hyperlink>
            <w:r w:rsidRPr="002C272D">
              <w:rPr>
                <w:rFonts w:asciiTheme="minorHAnsi" w:hAnsiTheme="minorHAnsi" w:cstheme="minorHAnsi"/>
                <w:sz w:val="24"/>
                <w:szCs w:val="24"/>
                <w:lang w:val="en-US"/>
              </w:rPr>
              <w:t xml:space="preserve"> (Broadcom)</w:t>
            </w:r>
          </w:p>
          <w:p w14:paraId="6841F4F6" w14:textId="77777777" w:rsidR="00F8236B" w:rsidRPr="002C272D" w:rsidRDefault="00F8236B">
            <w:pPr>
              <w:pStyle w:val="Tabletext"/>
              <w:rPr>
                <w:rFonts w:asciiTheme="minorHAnsi" w:hAnsiTheme="minorHAnsi" w:cstheme="minorHAnsi"/>
                <w:strike/>
                <w:sz w:val="24"/>
                <w:szCs w:val="24"/>
                <w:lang w:val="en-US"/>
              </w:rPr>
            </w:pPr>
          </w:p>
        </w:tc>
      </w:tr>
      <w:tr w:rsidR="00F8236B" w:rsidRPr="002C272D" w14:paraId="14F03C34"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85FD939"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01D4B9B"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4EEA425D"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0C00C773"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1E1A6AC0"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F425DEC"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01A0812"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SG17 (ICT Security, IdM) into new SG(d)V (SG5+SG12+SG17)</w:t>
            </w:r>
          </w:p>
        </w:tc>
        <w:tc>
          <w:tcPr>
            <w:tcW w:w="1560" w:type="dxa"/>
            <w:tcBorders>
              <w:top w:val="single" w:sz="4" w:space="0" w:color="auto"/>
              <w:left w:val="single" w:sz="4" w:space="0" w:color="auto"/>
              <w:bottom w:val="single" w:sz="4" w:space="0" w:color="auto"/>
              <w:right w:val="single" w:sz="4" w:space="0" w:color="auto"/>
            </w:tcBorders>
            <w:hideMark/>
          </w:tcPr>
          <w:p w14:paraId="51B44C24"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SG(d)V</w:t>
            </w:r>
          </w:p>
        </w:tc>
        <w:tc>
          <w:tcPr>
            <w:tcW w:w="2509" w:type="dxa"/>
            <w:tcBorders>
              <w:top w:val="single" w:sz="4" w:space="0" w:color="auto"/>
              <w:left w:val="single" w:sz="4" w:space="0" w:color="auto"/>
              <w:bottom w:val="single" w:sz="4" w:space="0" w:color="auto"/>
              <w:right w:val="single" w:sz="12" w:space="0" w:color="auto"/>
            </w:tcBorders>
            <w:hideMark/>
          </w:tcPr>
          <w:p w14:paraId="0CD9E45D" w14:textId="77777777" w:rsidR="00F8236B" w:rsidRPr="002C272D" w:rsidRDefault="00F8236B">
            <w:pPr>
              <w:pStyle w:val="Tabletext"/>
              <w:rPr>
                <w:rFonts w:asciiTheme="minorHAnsi" w:hAnsiTheme="minorHAnsi" w:cstheme="minorHAnsi"/>
                <w:sz w:val="24"/>
                <w:szCs w:val="24"/>
                <w:lang w:val="en-US"/>
              </w:rPr>
            </w:pPr>
            <w:hyperlink r:id="rId141"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w:t>
            </w:r>
          </w:p>
        </w:tc>
      </w:tr>
      <w:tr w:rsidR="00F8236B" w:rsidRPr="002C272D" w14:paraId="5FD2C070"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67E0C9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CB693BD"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m2) Move all SG17 (ICT Security, IdM) into new single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*)H (security)</w:t>
            </w:r>
          </w:p>
        </w:tc>
        <w:tc>
          <w:tcPr>
            <w:tcW w:w="1560" w:type="dxa"/>
            <w:tcBorders>
              <w:top w:val="single" w:sz="4" w:space="0" w:color="auto"/>
              <w:left w:val="single" w:sz="4" w:space="0" w:color="auto"/>
              <w:bottom w:val="single" w:sz="4" w:space="0" w:color="auto"/>
              <w:right w:val="single" w:sz="4" w:space="0" w:color="auto"/>
            </w:tcBorders>
            <w:hideMark/>
          </w:tcPr>
          <w:p w14:paraId="634E9632"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*)H</w:t>
            </w:r>
          </w:p>
        </w:tc>
        <w:tc>
          <w:tcPr>
            <w:tcW w:w="2509" w:type="dxa"/>
            <w:tcBorders>
              <w:top w:val="single" w:sz="4" w:space="0" w:color="auto"/>
              <w:left w:val="single" w:sz="4" w:space="0" w:color="auto"/>
              <w:bottom w:val="single" w:sz="4" w:space="0" w:color="auto"/>
              <w:right w:val="single" w:sz="12" w:space="0" w:color="auto"/>
            </w:tcBorders>
            <w:hideMark/>
          </w:tcPr>
          <w:p w14:paraId="58E4E284" w14:textId="77777777" w:rsidR="00F8236B" w:rsidRPr="002C272D" w:rsidRDefault="00F8236B">
            <w:pPr>
              <w:pStyle w:val="Tabletext"/>
              <w:rPr>
                <w:rFonts w:asciiTheme="minorHAnsi" w:hAnsiTheme="minorHAnsi" w:cstheme="minorHAnsi"/>
                <w:sz w:val="24"/>
                <w:szCs w:val="24"/>
                <w:lang w:val="en-US"/>
              </w:rPr>
            </w:pPr>
            <w:hyperlink r:id="rId142"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0D20D7F5"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32D6467"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F71837B"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Move all SG17 (ICT Security, IdM) into new single eta (security)</w:t>
            </w:r>
          </w:p>
        </w:tc>
        <w:tc>
          <w:tcPr>
            <w:tcW w:w="1560" w:type="dxa"/>
            <w:tcBorders>
              <w:top w:val="single" w:sz="4" w:space="0" w:color="auto"/>
              <w:left w:val="single" w:sz="4" w:space="0" w:color="auto"/>
              <w:bottom w:val="single" w:sz="4" w:space="0" w:color="auto"/>
              <w:right w:val="single" w:sz="4" w:space="0" w:color="auto"/>
            </w:tcBorders>
            <w:hideMark/>
          </w:tcPr>
          <w:p w14:paraId="70CDEB22"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eta</w:t>
            </w:r>
          </w:p>
        </w:tc>
        <w:tc>
          <w:tcPr>
            <w:tcW w:w="2509" w:type="dxa"/>
            <w:tcBorders>
              <w:top w:val="single" w:sz="4" w:space="0" w:color="auto"/>
              <w:left w:val="single" w:sz="4" w:space="0" w:color="auto"/>
              <w:bottom w:val="single" w:sz="4" w:space="0" w:color="auto"/>
              <w:right w:val="single" w:sz="12" w:space="0" w:color="auto"/>
            </w:tcBorders>
            <w:hideMark/>
          </w:tcPr>
          <w:p w14:paraId="26C27575" w14:textId="77777777" w:rsidR="00F8236B" w:rsidRPr="002C272D" w:rsidRDefault="00F8236B">
            <w:pPr>
              <w:pStyle w:val="Tabletext"/>
              <w:rPr>
                <w:rFonts w:asciiTheme="minorHAnsi" w:hAnsiTheme="minorHAnsi" w:cstheme="minorHAnsi"/>
                <w:sz w:val="24"/>
                <w:szCs w:val="24"/>
                <w:lang w:val="en-US"/>
              </w:rPr>
            </w:pPr>
            <w:hyperlink r:id="rId143"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0CDB53B3"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0098C4C"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9582596"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5A6CD7F"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7B267173"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21F1E7BD"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526A483"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6820F0E"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m5) Move all SG17 into SG17</w:t>
            </w:r>
          </w:p>
        </w:tc>
        <w:tc>
          <w:tcPr>
            <w:tcW w:w="1560" w:type="dxa"/>
            <w:tcBorders>
              <w:top w:val="single" w:sz="4" w:space="0" w:color="auto"/>
              <w:left w:val="single" w:sz="4" w:space="0" w:color="auto"/>
              <w:bottom w:val="single" w:sz="4" w:space="0" w:color="auto"/>
              <w:right w:val="single" w:sz="4" w:space="0" w:color="auto"/>
            </w:tcBorders>
            <w:hideMark/>
          </w:tcPr>
          <w:p w14:paraId="06886149"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SG17</w:t>
            </w:r>
          </w:p>
        </w:tc>
        <w:tc>
          <w:tcPr>
            <w:tcW w:w="2509" w:type="dxa"/>
            <w:tcBorders>
              <w:top w:val="single" w:sz="4" w:space="0" w:color="auto"/>
              <w:left w:val="single" w:sz="4" w:space="0" w:color="auto"/>
              <w:bottom w:val="single" w:sz="4" w:space="0" w:color="auto"/>
              <w:right w:val="single" w:sz="12" w:space="0" w:color="auto"/>
            </w:tcBorders>
            <w:hideMark/>
          </w:tcPr>
          <w:p w14:paraId="3908CECA" w14:textId="77777777" w:rsidR="00F8236B" w:rsidRPr="002C272D" w:rsidRDefault="00F8236B">
            <w:pPr>
              <w:pStyle w:val="Tabletext"/>
              <w:rPr>
                <w:rFonts w:asciiTheme="minorHAnsi" w:hAnsiTheme="minorHAnsi" w:cstheme="minorHAnsi"/>
                <w:sz w:val="24"/>
                <w:szCs w:val="24"/>
                <w:lang w:val="en-US"/>
              </w:rPr>
            </w:pPr>
            <w:hyperlink r:id="rId144"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tc>
      </w:tr>
      <w:tr w:rsidR="00F8236B" w:rsidRPr="002C272D" w14:paraId="3848CBB1"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853F4A8"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7DDB74F"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14:paraId="7FCE2936"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231002D1"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05C9A818"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BBB0EE1"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236B5D1" w14:textId="77777777" w:rsidR="00F8236B" w:rsidRPr="002C272D" w:rsidRDefault="00F8236B">
            <w:pPr>
              <w:pStyle w:val="Tabletext"/>
              <w:ind w:left="284"/>
              <w:rPr>
                <w:rFonts w:asciiTheme="minorHAnsi" w:hAnsiTheme="minorHAnsi" w:cstheme="minorHAnsi"/>
                <w:bCs/>
                <w:sz w:val="24"/>
                <w:szCs w:val="24"/>
                <w:lang w:val="en-US"/>
              </w:rPr>
            </w:pPr>
            <w:r w:rsidRPr="002C272D">
              <w:rPr>
                <w:rFonts w:asciiTheme="minorHAnsi" w:hAnsiTheme="minorHAnsi" w:cstheme="minorHAnsi"/>
                <w:sz w:val="24"/>
                <w:szCs w:val="24"/>
                <w:lang w:val="en-US"/>
              </w:rPr>
              <w:t xml:space="preserve">t1) </w:t>
            </w:r>
            <w:r w:rsidRPr="002C272D">
              <w:rPr>
                <w:rFonts w:asciiTheme="minorHAnsi" w:eastAsiaTheme="minorEastAsia" w:hAnsiTheme="minorHAnsi" w:cstheme="minorHAnsi"/>
                <w:sz w:val="24"/>
                <w:szCs w:val="24"/>
                <w:lang w:val="en-US" w:eastAsia="zh-CN"/>
              </w:rPr>
              <w:t xml:space="preserve">TTCN3 related Question could be moved from SG17 to SG11, to enhance the test related </w:t>
            </w:r>
            <w:r w:rsidRPr="002C272D">
              <w:rPr>
                <w:rFonts w:asciiTheme="minorHAnsi" w:hAnsiTheme="minorHAnsi" w:cstheme="minorHAnsi"/>
                <w:sz w:val="24"/>
                <w:szCs w:val="24"/>
                <w:lang w:val="en-US"/>
              </w:rPr>
              <w:t>languages and description techniques</w:t>
            </w:r>
            <w:r w:rsidRPr="002C272D">
              <w:rPr>
                <w:rFonts w:asciiTheme="minorHAnsi" w:eastAsiaTheme="minorEastAsia" w:hAnsiTheme="minorHAnsi" w:cstheme="minorHAnsi"/>
                <w:sz w:val="24"/>
                <w:szCs w:val="24"/>
                <w:lang w:val="en-US"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77E9D1DD"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SG11</w:t>
            </w:r>
          </w:p>
        </w:tc>
        <w:tc>
          <w:tcPr>
            <w:tcW w:w="2509" w:type="dxa"/>
            <w:tcBorders>
              <w:top w:val="single" w:sz="4" w:space="0" w:color="auto"/>
              <w:left w:val="single" w:sz="4" w:space="0" w:color="auto"/>
              <w:bottom w:val="single" w:sz="4" w:space="0" w:color="auto"/>
              <w:right w:val="single" w:sz="12" w:space="0" w:color="auto"/>
            </w:tcBorders>
            <w:hideMark/>
          </w:tcPr>
          <w:p w14:paraId="6024FB4D" w14:textId="77777777" w:rsidR="00F8236B" w:rsidRPr="002C272D" w:rsidRDefault="00F8236B">
            <w:pPr>
              <w:pStyle w:val="Tabletext"/>
              <w:rPr>
                <w:rFonts w:asciiTheme="minorHAnsi" w:hAnsiTheme="minorHAnsi" w:cstheme="minorHAnsi"/>
                <w:sz w:val="24"/>
                <w:szCs w:val="24"/>
                <w:lang w:val="en-US"/>
              </w:rPr>
            </w:pPr>
            <w:hyperlink r:id="rId145"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tc>
      </w:tr>
      <w:tr w:rsidR="00F8236B" w:rsidRPr="002C272D" w14:paraId="2B9BD8FF"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4426282"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21C9DB23"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57E8933F"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1065C74F"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6B22AFE4" w14:textId="77777777"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4E08A6D"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052B3EA2"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670E87D1"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337D5B42"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14DCBD3C" w14:textId="77777777" w:rsidTr="009617B8">
        <w:trPr>
          <w:jc w:val="center"/>
        </w:trPr>
        <w:tc>
          <w:tcPr>
            <w:tcW w:w="975" w:type="dxa"/>
            <w:vMerge w:val="restart"/>
            <w:tcBorders>
              <w:top w:val="single" w:sz="4" w:space="0" w:color="auto"/>
              <w:left w:val="single" w:sz="12" w:space="0" w:color="auto"/>
              <w:bottom w:val="single" w:sz="12" w:space="0" w:color="auto"/>
              <w:right w:val="single" w:sz="4" w:space="0" w:color="auto"/>
            </w:tcBorders>
            <w:hideMark/>
          </w:tcPr>
          <w:p w14:paraId="2CC2B185"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SG20</w:t>
            </w:r>
          </w:p>
        </w:tc>
        <w:tc>
          <w:tcPr>
            <w:tcW w:w="4565" w:type="dxa"/>
            <w:tcBorders>
              <w:top w:val="single" w:sz="4" w:space="0" w:color="auto"/>
              <w:left w:val="single" w:sz="4" w:space="0" w:color="auto"/>
              <w:bottom w:val="single" w:sz="4" w:space="0" w:color="auto"/>
              <w:right w:val="single" w:sz="4" w:space="0" w:color="auto"/>
            </w:tcBorders>
            <w:hideMark/>
          </w:tcPr>
          <w:p w14:paraId="4421002D"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14:paraId="4110956A"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3440DFE5" w14:textId="77777777" w:rsidR="00F8236B" w:rsidRPr="002C272D" w:rsidRDefault="00F8236B">
            <w:pPr>
              <w:pStyle w:val="Tabletext"/>
              <w:rPr>
                <w:rFonts w:asciiTheme="minorHAnsi" w:hAnsiTheme="minorHAnsi" w:cstheme="minorHAnsi"/>
                <w:sz w:val="24"/>
                <w:szCs w:val="24"/>
                <w:lang w:val="en-US"/>
              </w:rPr>
            </w:pPr>
            <w:hyperlink r:id="rId146" w:history="1">
              <w:r w:rsidRPr="002C272D">
                <w:rPr>
                  <w:rStyle w:val="Hyperlink"/>
                  <w:rFonts w:asciiTheme="minorHAnsi" w:hAnsiTheme="minorHAnsi" w:cstheme="minorHAnsi"/>
                  <w:sz w:val="24"/>
                  <w:szCs w:val="24"/>
                  <w:lang w:val="en-US"/>
                </w:rPr>
                <w:t>С125</w:t>
              </w:r>
            </w:hyperlink>
            <w:r w:rsidRPr="002C272D">
              <w:rPr>
                <w:rFonts w:asciiTheme="minorHAnsi" w:hAnsiTheme="minorHAnsi" w:cstheme="minorHAnsi"/>
                <w:sz w:val="24"/>
                <w:szCs w:val="24"/>
                <w:lang w:val="en-US"/>
              </w:rPr>
              <w:t xml:space="preserve"> (Russia)</w:t>
            </w:r>
          </w:p>
          <w:p w14:paraId="37DA2C9C" w14:textId="77777777" w:rsidR="00F8236B" w:rsidRPr="002C272D" w:rsidRDefault="00F8236B">
            <w:pPr>
              <w:pStyle w:val="Tabletext"/>
              <w:rPr>
                <w:rFonts w:asciiTheme="minorHAnsi" w:hAnsiTheme="minorHAnsi" w:cstheme="minorHAnsi"/>
                <w:sz w:val="24"/>
                <w:szCs w:val="24"/>
                <w:lang w:val="en-US"/>
              </w:rPr>
            </w:pPr>
            <w:hyperlink r:id="rId147" w:history="1">
              <w:r w:rsidRPr="002C272D">
                <w:rPr>
                  <w:rStyle w:val="Hyperlink"/>
                  <w:rFonts w:asciiTheme="minorHAnsi" w:hAnsiTheme="minorHAnsi" w:cstheme="minorHAnsi"/>
                  <w:sz w:val="24"/>
                  <w:szCs w:val="24"/>
                  <w:lang w:val="en-US"/>
                </w:rPr>
                <w:t>RGWP-C5</w:t>
              </w:r>
            </w:hyperlink>
            <w:r w:rsidRPr="002C272D">
              <w:rPr>
                <w:rFonts w:asciiTheme="minorHAnsi" w:hAnsiTheme="minorHAnsi" w:cstheme="minorHAnsi"/>
                <w:sz w:val="24"/>
                <w:szCs w:val="24"/>
                <w:lang w:val="en-US"/>
              </w:rPr>
              <w:t xml:space="preserve"> (China)</w:t>
            </w:r>
          </w:p>
          <w:p w14:paraId="47EE1D09" w14:textId="77777777" w:rsidR="00F8236B" w:rsidRPr="002C272D" w:rsidRDefault="00F8236B">
            <w:pPr>
              <w:pStyle w:val="Tabletext"/>
              <w:rPr>
                <w:rFonts w:asciiTheme="minorHAnsi" w:hAnsiTheme="minorHAnsi" w:cstheme="minorHAnsi"/>
                <w:sz w:val="24"/>
                <w:szCs w:val="24"/>
                <w:lang w:val="en-US"/>
              </w:rPr>
            </w:pPr>
            <w:hyperlink r:id="rId148" w:history="1">
              <w:r w:rsidRPr="002C272D">
                <w:rPr>
                  <w:rStyle w:val="Hyperlink"/>
                  <w:rFonts w:asciiTheme="minorHAnsi" w:hAnsiTheme="minorHAnsi" w:cstheme="minorHAnsi"/>
                  <w:sz w:val="24"/>
                  <w:szCs w:val="24"/>
                  <w:lang w:val="en-US"/>
                </w:rPr>
                <w:t>C169</w:t>
              </w:r>
            </w:hyperlink>
            <w:r w:rsidRPr="002C272D">
              <w:rPr>
                <w:rFonts w:asciiTheme="minorHAnsi" w:hAnsiTheme="minorHAnsi" w:cstheme="minorHAnsi"/>
                <w:sz w:val="24"/>
                <w:szCs w:val="24"/>
                <w:lang w:val="en-US"/>
              </w:rPr>
              <w:t xml:space="preserve"> (Russia)</w:t>
            </w:r>
          </w:p>
        </w:tc>
      </w:tr>
      <w:tr w:rsidR="00F8236B" w:rsidRPr="002C272D" w14:paraId="7CE09685"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3546DE7"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09091F39"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14:paraId="3DFF7B30"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0D25C418"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725D3D6A"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4EFB694C"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E03618D"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SG20 (IoT and Smart Cities) into new SG(d)II (SG16+SG20)</w:t>
            </w:r>
          </w:p>
        </w:tc>
        <w:tc>
          <w:tcPr>
            <w:tcW w:w="1560" w:type="dxa"/>
            <w:tcBorders>
              <w:top w:val="single" w:sz="4" w:space="0" w:color="auto"/>
              <w:left w:val="single" w:sz="4" w:space="0" w:color="auto"/>
              <w:bottom w:val="single" w:sz="4" w:space="0" w:color="auto"/>
              <w:right w:val="single" w:sz="4" w:space="0" w:color="auto"/>
            </w:tcBorders>
            <w:hideMark/>
          </w:tcPr>
          <w:p w14:paraId="02C22901"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SG(d)II</w:t>
            </w:r>
          </w:p>
        </w:tc>
        <w:tc>
          <w:tcPr>
            <w:tcW w:w="2509" w:type="dxa"/>
            <w:tcBorders>
              <w:top w:val="single" w:sz="4" w:space="0" w:color="auto"/>
              <w:left w:val="single" w:sz="4" w:space="0" w:color="auto"/>
              <w:bottom w:val="single" w:sz="4" w:space="0" w:color="auto"/>
              <w:right w:val="single" w:sz="12" w:space="0" w:color="auto"/>
            </w:tcBorders>
            <w:hideMark/>
          </w:tcPr>
          <w:p w14:paraId="6DABC97A" w14:textId="77777777" w:rsidR="00F8236B" w:rsidRPr="002C272D" w:rsidRDefault="00F8236B">
            <w:pPr>
              <w:pStyle w:val="Tabletext"/>
              <w:rPr>
                <w:rFonts w:asciiTheme="minorHAnsi" w:hAnsiTheme="minorHAnsi" w:cstheme="minorHAnsi"/>
                <w:sz w:val="24"/>
                <w:szCs w:val="24"/>
                <w:lang w:val="en-US"/>
              </w:rPr>
            </w:pPr>
            <w:hyperlink r:id="rId149" w:history="1">
              <w:r w:rsidRPr="002C272D">
                <w:rPr>
                  <w:rStyle w:val="Hyperlink"/>
                  <w:rFonts w:asciiTheme="minorHAnsi" w:hAnsiTheme="minorHAnsi" w:cstheme="minorHAnsi"/>
                  <w:sz w:val="24"/>
                  <w:szCs w:val="24"/>
                  <w:lang w:val="en-US"/>
                </w:rPr>
                <w:t>TD717</w:t>
              </w:r>
            </w:hyperlink>
            <w:r w:rsidRPr="002C272D">
              <w:rPr>
                <w:rFonts w:asciiTheme="minorHAnsi" w:hAnsiTheme="minorHAnsi" w:cstheme="minorHAnsi"/>
                <w:sz w:val="24"/>
                <w:szCs w:val="24"/>
                <w:lang w:val="en-US"/>
              </w:rPr>
              <w:t xml:space="preserve"> (TSBDir) </w:t>
            </w:r>
            <w:r w:rsidRPr="002C272D">
              <w:rPr>
                <w:rFonts w:asciiTheme="minorHAnsi" w:hAnsiTheme="minorHAnsi" w:cstheme="minorHAnsi"/>
                <w:sz w:val="24"/>
                <w:szCs w:val="24"/>
                <w:lang w:val="en-US"/>
              </w:rPr>
              <w:br/>
            </w:r>
          </w:p>
        </w:tc>
      </w:tr>
      <w:tr w:rsidR="00F8236B" w:rsidRPr="002C272D" w14:paraId="16F2C8EC"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E09F23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E9EC2D5"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BA559E5"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61766AF9"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31138784"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B12BFE0"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957F2C8" w14:textId="77777777"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14:paraId="5E09A69D"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3349CB93"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0A8C5706"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5542A6DF"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7908A3A2"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t1) Move IoT identification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*)A</w:t>
            </w:r>
          </w:p>
        </w:tc>
        <w:tc>
          <w:tcPr>
            <w:tcW w:w="1560" w:type="dxa"/>
            <w:tcBorders>
              <w:top w:val="single" w:sz="4" w:space="0" w:color="auto"/>
              <w:left w:val="single" w:sz="4" w:space="0" w:color="auto"/>
              <w:bottom w:val="single" w:sz="4" w:space="0" w:color="auto"/>
              <w:right w:val="single" w:sz="4" w:space="0" w:color="auto"/>
            </w:tcBorders>
            <w:hideMark/>
          </w:tcPr>
          <w:p w14:paraId="5B7A69E6"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*)A</w:t>
            </w:r>
          </w:p>
        </w:tc>
        <w:tc>
          <w:tcPr>
            <w:tcW w:w="2509" w:type="dxa"/>
            <w:tcBorders>
              <w:top w:val="single" w:sz="4" w:space="0" w:color="auto"/>
              <w:left w:val="single" w:sz="4" w:space="0" w:color="auto"/>
              <w:bottom w:val="single" w:sz="4" w:space="0" w:color="auto"/>
              <w:right w:val="single" w:sz="12" w:space="0" w:color="auto"/>
            </w:tcBorders>
            <w:hideMark/>
          </w:tcPr>
          <w:p w14:paraId="023D73B3" w14:textId="77777777" w:rsidR="00F8236B" w:rsidRPr="002C272D" w:rsidRDefault="00F8236B">
            <w:pPr>
              <w:pStyle w:val="Tabletext"/>
              <w:rPr>
                <w:rFonts w:asciiTheme="minorHAnsi" w:hAnsiTheme="minorHAnsi" w:cstheme="minorHAnsi"/>
                <w:sz w:val="24"/>
                <w:szCs w:val="24"/>
                <w:lang w:val="en-US"/>
              </w:rPr>
            </w:pPr>
            <w:hyperlink r:id="rId150"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7E53DF0F"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44F32F1D"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0634344"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t2) Move smart sustainable cities and communities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*)C</w:t>
            </w:r>
          </w:p>
        </w:tc>
        <w:tc>
          <w:tcPr>
            <w:tcW w:w="1560" w:type="dxa"/>
            <w:tcBorders>
              <w:top w:val="single" w:sz="4" w:space="0" w:color="auto"/>
              <w:left w:val="single" w:sz="4" w:space="0" w:color="auto"/>
              <w:bottom w:val="single" w:sz="4" w:space="0" w:color="auto"/>
              <w:right w:val="single" w:sz="4" w:space="0" w:color="auto"/>
            </w:tcBorders>
            <w:hideMark/>
          </w:tcPr>
          <w:p w14:paraId="3B186D28"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*)C</w:t>
            </w:r>
          </w:p>
        </w:tc>
        <w:tc>
          <w:tcPr>
            <w:tcW w:w="2509" w:type="dxa"/>
            <w:tcBorders>
              <w:top w:val="single" w:sz="4" w:space="0" w:color="auto"/>
              <w:left w:val="single" w:sz="4" w:space="0" w:color="auto"/>
              <w:bottom w:val="single" w:sz="4" w:space="0" w:color="auto"/>
              <w:right w:val="single" w:sz="12" w:space="0" w:color="auto"/>
            </w:tcBorders>
            <w:hideMark/>
          </w:tcPr>
          <w:p w14:paraId="33206F20" w14:textId="77777777" w:rsidR="00F8236B" w:rsidRPr="002C272D" w:rsidRDefault="00F8236B">
            <w:pPr>
              <w:pStyle w:val="Tabletext"/>
              <w:rPr>
                <w:rFonts w:asciiTheme="minorHAnsi" w:hAnsiTheme="minorHAnsi" w:cstheme="minorHAnsi"/>
                <w:sz w:val="24"/>
                <w:szCs w:val="24"/>
                <w:lang w:val="en-US"/>
              </w:rPr>
            </w:pPr>
            <w:hyperlink r:id="rId151"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259A7FFC"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2A14ABE"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0BD4473"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t3) Move Internet of Things (IoT) and its applications (except for IoT Security and IoT Identification)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*)F</w:t>
            </w:r>
          </w:p>
        </w:tc>
        <w:tc>
          <w:tcPr>
            <w:tcW w:w="1560" w:type="dxa"/>
            <w:tcBorders>
              <w:top w:val="single" w:sz="4" w:space="0" w:color="auto"/>
              <w:left w:val="single" w:sz="4" w:space="0" w:color="auto"/>
              <w:bottom w:val="single" w:sz="4" w:space="0" w:color="auto"/>
              <w:right w:val="single" w:sz="4" w:space="0" w:color="auto"/>
            </w:tcBorders>
            <w:hideMark/>
          </w:tcPr>
          <w:p w14:paraId="67F7B921"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*)F</w:t>
            </w:r>
          </w:p>
        </w:tc>
        <w:tc>
          <w:tcPr>
            <w:tcW w:w="2509" w:type="dxa"/>
            <w:tcBorders>
              <w:top w:val="single" w:sz="4" w:space="0" w:color="auto"/>
              <w:left w:val="single" w:sz="4" w:space="0" w:color="auto"/>
              <w:bottom w:val="single" w:sz="4" w:space="0" w:color="auto"/>
              <w:right w:val="single" w:sz="12" w:space="0" w:color="auto"/>
            </w:tcBorders>
            <w:hideMark/>
          </w:tcPr>
          <w:p w14:paraId="25862086" w14:textId="77777777" w:rsidR="00F8236B" w:rsidRPr="002C272D" w:rsidRDefault="00F8236B">
            <w:pPr>
              <w:pStyle w:val="Tabletext"/>
              <w:rPr>
                <w:rFonts w:asciiTheme="minorHAnsi" w:hAnsiTheme="minorHAnsi" w:cstheme="minorHAnsi"/>
                <w:sz w:val="24"/>
                <w:szCs w:val="24"/>
                <w:lang w:val="en-US"/>
              </w:rPr>
            </w:pPr>
            <w:hyperlink r:id="rId152"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7402DE48"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332CAF14"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54456583"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t4) Move IoT security into new </w:t>
            </w: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*)H</w:t>
            </w:r>
          </w:p>
        </w:tc>
        <w:tc>
          <w:tcPr>
            <w:tcW w:w="1560" w:type="dxa"/>
            <w:tcBorders>
              <w:top w:val="single" w:sz="4" w:space="0" w:color="auto"/>
              <w:left w:val="single" w:sz="4" w:space="0" w:color="auto"/>
              <w:bottom w:val="single" w:sz="4" w:space="0" w:color="auto"/>
              <w:right w:val="single" w:sz="4" w:space="0" w:color="auto"/>
            </w:tcBorders>
            <w:hideMark/>
          </w:tcPr>
          <w:p w14:paraId="055424DD" w14:textId="77777777" w:rsidR="00F8236B" w:rsidRPr="002C272D" w:rsidRDefault="00F8236B">
            <w:pPr>
              <w:pStyle w:val="Tabletext"/>
              <w:rPr>
                <w:rFonts w:asciiTheme="minorHAnsi" w:hAnsiTheme="minorHAnsi" w:cstheme="minorHAnsi"/>
                <w:sz w:val="24"/>
                <w:szCs w:val="24"/>
                <w:lang w:val="en-US"/>
              </w:rPr>
            </w:pPr>
            <w:proofErr w:type="gramStart"/>
            <w:r w:rsidRPr="002C272D">
              <w:rPr>
                <w:rFonts w:asciiTheme="minorHAnsi" w:hAnsiTheme="minorHAnsi" w:cstheme="minorHAnsi"/>
                <w:sz w:val="24"/>
                <w:szCs w:val="24"/>
                <w:lang w:val="en-US"/>
              </w:rPr>
              <w:t>SG(</w:t>
            </w:r>
            <w:proofErr w:type="gramEnd"/>
            <w:r w:rsidRPr="002C272D">
              <w:rPr>
                <w:rFonts w:asciiTheme="minorHAnsi" w:hAnsiTheme="minorHAnsi" w:cstheme="minorHAnsi"/>
                <w:sz w:val="24"/>
                <w:szCs w:val="24"/>
                <w:lang w:val="en-US"/>
              </w:rPr>
              <w:t>*)H</w:t>
            </w:r>
          </w:p>
        </w:tc>
        <w:tc>
          <w:tcPr>
            <w:tcW w:w="2509" w:type="dxa"/>
            <w:tcBorders>
              <w:top w:val="single" w:sz="4" w:space="0" w:color="auto"/>
              <w:left w:val="single" w:sz="4" w:space="0" w:color="auto"/>
              <w:bottom w:val="single" w:sz="4" w:space="0" w:color="auto"/>
              <w:right w:val="single" w:sz="12" w:space="0" w:color="auto"/>
            </w:tcBorders>
            <w:hideMark/>
          </w:tcPr>
          <w:p w14:paraId="0816F6B3" w14:textId="77777777" w:rsidR="00F8236B" w:rsidRPr="002C272D" w:rsidRDefault="00F8236B">
            <w:pPr>
              <w:pStyle w:val="Tabletext"/>
              <w:rPr>
                <w:rFonts w:asciiTheme="minorHAnsi" w:hAnsiTheme="minorHAnsi" w:cstheme="minorHAnsi"/>
                <w:sz w:val="24"/>
                <w:szCs w:val="24"/>
                <w:lang w:val="en-US"/>
              </w:rPr>
            </w:pPr>
            <w:hyperlink r:id="rId153" w:history="1">
              <w:r w:rsidRPr="002C272D">
                <w:rPr>
                  <w:rStyle w:val="Hyperlink"/>
                  <w:rFonts w:asciiTheme="minorHAnsi" w:hAnsiTheme="minorHAnsi" w:cstheme="minorHAnsi"/>
                  <w:sz w:val="24"/>
                  <w:szCs w:val="24"/>
                  <w:lang w:val="en-US"/>
                </w:rPr>
                <w:t>RGWP-C1(201208)</w:t>
              </w:r>
            </w:hyperlink>
            <w:r w:rsidRPr="002C272D">
              <w:rPr>
                <w:rFonts w:asciiTheme="minorHAnsi" w:hAnsiTheme="minorHAnsi" w:cstheme="minorHAnsi"/>
                <w:sz w:val="24"/>
                <w:szCs w:val="24"/>
                <w:lang w:val="en-US"/>
              </w:rPr>
              <w:t xml:space="preserve"> (*)</w:t>
            </w:r>
          </w:p>
        </w:tc>
      </w:tr>
      <w:tr w:rsidR="00F8236B" w:rsidRPr="002C272D" w14:paraId="7EAADB65"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2D166545"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F37DE4F"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t5) move a part of Q6/20 into gamma</w:t>
            </w:r>
          </w:p>
        </w:tc>
        <w:tc>
          <w:tcPr>
            <w:tcW w:w="1560" w:type="dxa"/>
            <w:tcBorders>
              <w:top w:val="single" w:sz="4" w:space="0" w:color="auto"/>
              <w:left w:val="single" w:sz="4" w:space="0" w:color="auto"/>
              <w:bottom w:val="single" w:sz="4" w:space="0" w:color="auto"/>
              <w:right w:val="single" w:sz="4" w:space="0" w:color="auto"/>
            </w:tcBorders>
            <w:hideMark/>
          </w:tcPr>
          <w:p w14:paraId="2D58592A"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gamma</w:t>
            </w:r>
          </w:p>
        </w:tc>
        <w:tc>
          <w:tcPr>
            <w:tcW w:w="2509" w:type="dxa"/>
            <w:tcBorders>
              <w:top w:val="single" w:sz="4" w:space="0" w:color="auto"/>
              <w:left w:val="single" w:sz="4" w:space="0" w:color="auto"/>
              <w:bottom w:val="single" w:sz="4" w:space="0" w:color="auto"/>
              <w:right w:val="single" w:sz="12" w:space="0" w:color="auto"/>
            </w:tcBorders>
            <w:hideMark/>
          </w:tcPr>
          <w:p w14:paraId="31615948" w14:textId="77777777" w:rsidR="00F8236B" w:rsidRPr="002C272D" w:rsidRDefault="00F8236B">
            <w:pPr>
              <w:pStyle w:val="Tabletext"/>
              <w:rPr>
                <w:rFonts w:asciiTheme="minorHAnsi" w:hAnsiTheme="minorHAnsi" w:cstheme="minorHAnsi"/>
                <w:sz w:val="24"/>
                <w:szCs w:val="24"/>
                <w:lang w:val="en-US"/>
              </w:rPr>
            </w:pPr>
            <w:hyperlink r:id="rId154"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689B3B47"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BAFB364"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E81ED5B"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t6) move Q5/20 into epsilon</w:t>
            </w:r>
          </w:p>
        </w:tc>
        <w:tc>
          <w:tcPr>
            <w:tcW w:w="1560" w:type="dxa"/>
            <w:tcBorders>
              <w:top w:val="single" w:sz="4" w:space="0" w:color="auto"/>
              <w:left w:val="single" w:sz="4" w:space="0" w:color="auto"/>
              <w:bottom w:val="single" w:sz="4" w:space="0" w:color="auto"/>
              <w:right w:val="single" w:sz="4" w:space="0" w:color="auto"/>
            </w:tcBorders>
            <w:hideMark/>
          </w:tcPr>
          <w:p w14:paraId="797B706E"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epsilon</w:t>
            </w:r>
          </w:p>
        </w:tc>
        <w:tc>
          <w:tcPr>
            <w:tcW w:w="2509" w:type="dxa"/>
            <w:tcBorders>
              <w:top w:val="single" w:sz="4" w:space="0" w:color="auto"/>
              <w:left w:val="single" w:sz="4" w:space="0" w:color="auto"/>
              <w:bottom w:val="single" w:sz="4" w:space="0" w:color="auto"/>
              <w:right w:val="single" w:sz="12" w:space="0" w:color="auto"/>
            </w:tcBorders>
            <w:hideMark/>
          </w:tcPr>
          <w:p w14:paraId="0F952AE5" w14:textId="77777777" w:rsidR="00F8236B" w:rsidRPr="002C272D" w:rsidRDefault="00F8236B">
            <w:pPr>
              <w:pStyle w:val="Tabletext"/>
              <w:rPr>
                <w:rFonts w:asciiTheme="minorHAnsi" w:hAnsiTheme="minorHAnsi" w:cstheme="minorHAnsi"/>
                <w:sz w:val="24"/>
                <w:szCs w:val="24"/>
                <w:lang w:val="en-US"/>
              </w:rPr>
            </w:pPr>
            <w:hyperlink r:id="rId155"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33843B9C"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263DF374"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1B168C2"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t7) move Q7/20 into zeta</w:t>
            </w:r>
          </w:p>
        </w:tc>
        <w:tc>
          <w:tcPr>
            <w:tcW w:w="1560" w:type="dxa"/>
            <w:tcBorders>
              <w:top w:val="single" w:sz="4" w:space="0" w:color="auto"/>
              <w:left w:val="single" w:sz="4" w:space="0" w:color="auto"/>
              <w:bottom w:val="single" w:sz="4" w:space="0" w:color="auto"/>
              <w:right w:val="single" w:sz="4" w:space="0" w:color="auto"/>
            </w:tcBorders>
            <w:hideMark/>
          </w:tcPr>
          <w:p w14:paraId="7E0C961E" w14:textId="77777777"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zeta</w:t>
            </w:r>
          </w:p>
        </w:tc>
        <w:tc>
          <w:tcPr>
            <w:tcW w:w="2509" w:type="dxa"/>
            <w:tcBorders>
              <w:top w:val="single" w:sz="4" w:space="0" w:color="auto"/>
              <w:left w:val="single" w:sz="4" w:space="0" w:color="auto"/>
              <w:bottom w:val="single" w:sz="4" w:space="0" w:color="auto"/>
              <w:right w:val="single" w:sz="12" w:space="0" w:color="auto"/>
            </w:tcBorders>
            <w:hideMark/>
          </w:tcPr>
          <w:p w14:paraId="43E7ED37" w14:textId="77777777" w:rsidR="00F8236B" w:rsidRPr="002C272D" w:rsidRDefault="00F8236B">
            <w:pPr>
              <w:pStyle w:val="Tabletext"/>
              <w:rPr>
                <w:rFonts w:asciiTheme="minorHAnsi" w:hAnsiTheme="minorHAnsi" w:cstheme="minorHAnsi"/>
                <w:sz w:val="24"/>
                <w:szCs w:val="24"/>
                <w:lang w:val="en-US"/>
              </w:rPr>
            </w:pPr>
            <w:hyperlink r:id="rId156"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4B224BB5"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2EFA756"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6EF37C02" w14:textId="77777777" w:rsidR="00F8236B" w:rsidRPr="002C272D" w:rsidRDefault="00F8236B">
            <w:pPr>
              <w:pStyle w:val="Tabletext"/>
              <w:ind w:left="284"/>
              <w:rPr>
                <w:rFonts w:asciiTheme="minorHAnsi" w:hAnsiTheme="minorHAnsi" w:cstheme="minorHAnsi"/>
                <w:sz w:val="24"/>
                <w:szCs w:val="24"/>
                <w:lang w:val="fr-FR"/>
              </w:rPr>
            </w:pPr>
            <w:proofErr w:type="gramStart"/>
            <w:r w:rsidRPr="002C272D">
              <w:rPr>
                <w:rFonts w:asciiTheme="minorHAnsi" w:hAnsiTheme="minorHAnsi" w:cstheme="minorHAnsi"/>
                <w:sz w:val="24"/>
                <w:szCs w:val="24"/>
                <w:lang w:val="fr-FR"/>
              </w:rPr>
              <w:t>t</w:t>
            </w:r>
            <w:proofErr w:type="gramEnd"/>
            <w:r w:rsidRPr="002C272D">
              <w:rPr>
                <w:rFonts w:asciiTheme="minorHAnsi" w:hAnsiTheme="minorHAnsi" w:cstheme="minorHAnsi"/>
                <w:sz w:val="24"/>
                <w:szCs w:val="24"/>
                <w:lang w:val="fr-FR"/>
              </w:rPr>
              <w:t>8) move Q6/20 into eta</w:t>
            </w:r>
          </w:p>
        </w:tc>
        <w:tc>
          <w:tcPr>
            <w:tcW w:w="1560" w:type="dxa"/>
            <w:tcBorders>
              <w:top w:val="single" w:sz="4" w:space="0" w:color="auto"/>
              <w:left w:val="single" w:sz="4" w:space="0" w:color="auto"/>
              <w:bottom w:val="single" w:sz="4" w:space="0" w:color="auto"/>
              <w:right w:val="single" w:sz="4" w:space="0" w:color="auto"/>
            </w:tcBorders>
            <w:hideMark/>
          </w:tcPr>
          <w:p w14:paraId="0DE95CFA" w14:textId="77777777" w:rsidR="00F8236B" w:rsidRPr="002C272D" w:rsidRDefault="00F8236B">
            <w:pPr>
              <w:pStyle w:val="Tabletext"/>
              <w:rPr>
                <w:rFonts w:asciiTheme="minorHAnsi" w:hAnsiTheme="minorHAnsi" w:cstheme="minorHAnsi"/>
                <w:sz w:val="24"/>
                <w:szCs w:val="24"/>
                <w:lang w:val="fr-FR"/>
              </w:rPr>
            </w:pPr>
            <w:proofErr w:type="gramStart"/>
            <w:r w:rsidRPr="002C272D">
              <w:rPr>
                <w:rFonts w:asciiTheme="minorHAnsi" w:hAnsiTheme="minorHAnsi" w:cstheme="minorHAnsi"/>
                <w:sz w:val="24"/>
                <w:szCs w:val="24"/>
                <w:lang w:val="fr-FR"/>
              </w:rPr>
              <w:t>eta</w:t>
            </w:r>
            <w:proofErr w:type="gramEnd"/>
          </w:p>
        </w:tc>
        <w:tc>
          <w:tcPr>
            <w:tcW w:w="2509" w:type="dxa"/>
            <w:tcBorders>
              <w:top w:val="single" w:sz="4" w:space="0" w:color="auto"/>
              <w:left w:val="single" w:sz="4" w:space="0" w:color="auto"/>
              <w:bottom w:val="single" w:sz="4" w:space="0" w:color="auto"/>
              <w:right w:val="single" w:sz="12" w:space="0" w:color="auto"/>
            </w:tcBorders>
            <w:hideMark/>
          </w:tcPr>
          <w:p w14:paraId="4CA0AD39" w14:textId="77777777" w:rsidR="00F8236B" w:rsidRPr="002C272D" w:rsidRDefault="00F8236B">
            <w:pPr>
              <w:pStyle w:val="Tabletext"/>
              <w:rPr>
                <w:rFonts w:asciiTheme="minorHAnsi" w:hAnsiTheme="minorHAnsi" w:cstheme="minorHAnsi"/>
                <w:sz w:val="24"/>
                <w:szCs w:val="24"/>
                <w:lang w:val="en-US"/>
              </w:rPr>
            </w:pPr>
            <w:hyperlink r:id="rId157"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4275F8B6"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DBF3D16"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2C976922"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t9) move WP1/20 into theta</w:t>
            </w:r>
          </w:p>
        </w:tc>
        <w:tc>
          <w:tcPr>
            <w:tcW w:w="1560" w:type="dxa"/>
            <w:tcBorders>
              <w:top w:val="single" w:sz="4" w:space="0" w:color="auto"/>
              <w:left w:val="single" w:sz="4" w:space="0" w:color="auto"/>
              <w:bottom w:val="single" w:sz="4" w:space="0" w:color="auto"/>
              <w:right w:val="single" w:sz="4" w:space="0" w:color="auto"/>
            </w:tcBorders>
            <w:hideMark/>
          </w:tcPr>
          <w:p w14:paraId="47A905CF" w14:textId="77777777"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en-US"/>
              </w:rPr>
              <w:t>theta</w:t>
            </w:r>
          </w:p>
        </w:tc>
        <w:tc>
          <w:tcPr>
            <w:tcW w:w="2509" w:type="dxa"/>
            <w:tcBorders>
              <w:top w:val="single" w:sz="4" w:space="0" w:color="auto"/>
              <w:left w:val="single" w:sz="4" w:space="0" w:color="auto"/>
              <w:bottom w:val="single" w:sz="4" w:space="0" w:color="auto"/>
              <w:right w:val="single" w:sz="12" w:space="0" w:color="auto"/>
            </w:tcBorders>
            <w:hideMark/>
          </w:tcPr>
          <w:p w14:paraId="3A50A27A" w14:textId="77777777" w:rsidR="00F8236B" w:rsidRPr="002C272D" w:rsidRDefault="00F8236B">
            <w:pPr>
              <w:pStyle w:val="Tabletext"/>
              <w:rPr>
                <w:rFonts w:asciiTheme="minorHAnsi" w:hAnsiTheme="minorHAnsi" w:cstheme="minorHAnsi"/>
                <w:sz w:val="24"/>
                <w:szCs w:val="24"/>
                <w:lang w:val="en-US"/>
              </w:rPr>
            </w:pPr>
            <w:hyperlink r:id="rId158" w:history="1">
              <w:r w:rsidRPr="002C272D">
                <w:rPr>
                  <w:rStyle w:val="Hyperlink"/>
                  <w:rFonts w:asciiTheme="minorHAnsi" w:hAnsiTheme="minorHAnsi" w:cstheme="minorHAnsi"/>
                  <w:sz w:val="24"/>
                  <w:szCs w:val="24"/>
                  <w:lang w:val="en-US"/>
                </w:rPr>
                <w:t>RGWP-C2</w:t>
              </w:r>
            </w:hyperlink>
            <w:r w:rsidRPr="002C272D">
              <w:rPr>
                <w:rFonts w:asciiTheme="minorHAnsi" w:hAnsiTheme="minorHAnsi" w:cstheme="minorHAnsi"/>
                <w:sz w:val="24"/>
                <w:szCs w:val="24"/>
                <w:lang w:val="en-US"/>
              </w:rPr>
              <w:t xml:space="preserve"> (USA and Canada)</w:t>
            </w:r>
          </w:p>
        </w:tc>
      </w:tr>
      <w:tr w:rsidR="00F8236B" w:rsidRPr="002C272D" w14:paraId="54427D57"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42D34884"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E91C718"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98FC712"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14:paraId="1BD4F833"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61E6E746"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15CF5105"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4D63DB32"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t11) Move a part of Q6/20 (IoT security) into SG17 </w:t>
            </w:r>
          </w:p>
        </w:tc>
        <w:tc>
          <w:tcPr>
            <w:tcW w:w="1560" w:type="dxa"/>
            <w:tcBorders>
              <w:top w:val="single" w:sz="4" w:space="0" w:color="auto"/>
              <w:left w:val="single" w:sz="4" w:space="0" w:color="auto"/>
              <w:bottom w:val="single" w:sz="4" w:space="0" w:color="auto"/>
              <w:right w:val="single" w:sz="4" w:space="0" w:color="auto"/>
            </w:tcBorders>
            <w:hideMark/>
          </w:tcPr>
          <w:p w14:paraId="0ADCF7B7" w14:textId="77777777"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en-US"/>
              </w:rPr>
              <w:t>SG17</w:t>
            </w:r>
          </w:p>
        </w:tc>
        <w:tc>
          <w:tcPr>
            <w:tcW w:w="2509" w:type="dxa"/>
            <w:tcBorders>
              <w:top w:val="single" w:sz="4" w:space="0" w:color="auto"/>
              <w:left w:val="single" w:sz="4" w:space="0" w:color="auto"/>
              <w:bottom w:val="single" w:sz="4" w:space="0" w:color="auto"/>
              <w:right w:val="single" w:sz="12" w:space="0" w:color="auto"/>
            </w:tcBorders>
            <w:hideMark/>
          </w:tcPr>
          <w:p w14:paraId="5A17E632" w14:textId="77777777" w:rsidR="00F8236B" w:rsidRPr="002C272D" w:rsidRDefault="00F8236B">
            <w:pPr>
              <w:pStyle w:val="Tabletext"/>
              <w:rPr>
                <w:rFonts w:asciiTheme="minorHAnsi" w:hAnsiTheme="minorHAnsi" w:cstheme="minorHAnsi"/>
                <w:sz w:val="24"/>
                <w:szCs w:val="24"/>
                <w:lang w:val="en-US"/>
              </w:rPr>
            </w:pPr>
            <w:hyperlink r:id="rId159"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tc>
      </w:tr>
      <w:tr w:rsidR="00F8236B" w:rsidRPr="002C272D" w14:paraId="520CE545"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24363D5"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1E59E8CD" w14:textId="77777777"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t12) Move a part of Q6/20 (IoT identification) into SG2 </w:t>
            </w:r>
          </w:p>
        </w:tc>
        <w:tc>
          <w:tcPr>
            <w:tcW w:w="1560" w:type="dxa"/>
            <w:tcBorders>
              <w:top w:val="single" w:sz="4" w:space="0" w:color="auto"/>
              <w:left w:val="single" w:sz="4" w:space="0" w:color="auto"/>
              <w:bottom w:val="single" w:sz="4" w:space="0" w:color="auto"/>
              <w:right w:val="single" w:sz="4" w:space="0" w:color="auto"/>
            </w:tcBorders>
            <w:hideMark/>
          </w:tcPr>
          <w:p w14:paraId="7A44D537" w14:textId="77777777"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en-US"/>
              </w:rPr>
              <w:t>SG2</w:t>
            </w:r>
          </w:p>
        </w:tc>
        <w:tc>
          <w:tcPr>
            <w:tcW w:w="2509" w:type="dxa"/>
            <w:tcBorders>
              <w:top w:val="single" w:sz="4" w:space="0" w:color="auto"/>
              <w:left w:val="single" w:sz="4" w:space="0" w:color="auto"/>
              <w:bottom w:val="single" w:sz="4" w:space="0" w:color="auto"/>
              <w:right w:val="single" w:sz="12" w:space="0" w:color="auto"/>
            </w:tcBorders>
            <w:hideMark/>
          </w:tcPr>
          <w:p w14:paraId="3DB48987" w14:textId="77777777" w:rsidR="00F8236B" w:rsidRPr="002C272D" w:rsidRDefault="00F8236B">
            <w:pPr>
              <w:pStyle w:val="Tabletext"/>
              <w:jc w:val="both"/>
              <w:rPr>
                <w:rFonts w:asciiTheme="minorHAnsi" w:hAnsiTheme="minorHAnsi" w:cstheme="minorHAnsi"/>
                <w:sz w:val="24"/>
                <w:szCs w:val="24"/>
                <w:lang w:val="en-US"/>
              </w:rPr>
            </w:pPr>
            <w:hyperlink r:id="rId160" w:history="1">
              <w:r w:rsidRPr="002C272D">
                <w:rPr>
                  <w:rStyle w:val="Hyperlink"/>
                  <w:rFonts w:asciiTheme="minorHAnsi" w:hAnsiTheme="minorHAnsi" w:cstheme="minorHAnsi"/>
                  <w:sz w:val="24"/>
                  <w:szCs w:val="24"/>
                  <w:lang w:val="en-US"/>
                </w:rPr>
                <w:t>RGWP-C2 (201208)</w:t>
              </w:r>
            </w:hyperlink>
            <w:r w:rsidRPr="002C272D">
              <w:rPr>
                <w:rFonts w:asciiTheme="minorHAnsi" w:hAnsiTheme="minorHAnsi" w:cstheme="minorHAnsi"/>
                <w:sz w:val="24"/>
                <w:szCs w:val="24"/>
                <w:lang w:val="en-US"/>
              </w:rPr>
              <w:t>(APT)</w:t>
            </w:r>
          </w:p>
        </w:tc>
      </w:tr>
      <w:tr w:rsidR="00F8236B" w:rsidRPr="002C272D" w14:paraId="39975D03"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53C4711D"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14:paraId="323458B3"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D3BABD6" w14:textId="77777777" w:rsidR="00F8236B" w:rsidRPr="002C272D" w:rsidRDefault="00F8236B">
            <w:pPr>
              <w:pStyle w:val="Tabletext"/>
              <w:rPr>
                <w:rFonts w:asciiTheme="minorHAnsi" w:hAnsiTheme="minorHAnsi" w:cstheme="minorHAnsi"/>
                <w:sz w:val="24"/>
                <w:szCs w:val="24"/>
                <w:lang w:val="fr-FR"/>
              </w:rPr>
            </w:pPr>
          </w:p>
        </w:tc>
        <w:tc>
          <w:tcPr>
            <w:tcW w:w="2509" w:type="dxa"/>
            <w:tcBorders>
              <w:top w:val="single" w:sz="4" w:space="0" w:color="auto"/>
              <w:left w:val="single" w:sz="4" w:space="0" w:color="auto"/>
              <w:bottom w:val="single" w:sz="4" w:space="0" w:color="auto"/>
              <w:right w:val="single" w:sz="12" w:space="0" w:color="auto"/>
            </w:tcBorders>
            <w:hideMark/>
          </w:tcPr>
          <w:p w14:paraId="153BFE4C" w14:textId="77777777" w:rsidR="00F8236B" w:rsidRPr="002C272D" w:rsidRDefault="00F8236B">
            <w:pPr>
              <w:pStyle w:val="Tabletext"/>
              <w:rPr>
                <w:rFonts w:asciiTheme="minorHAnsi" w:hAnsiTheme="minorHAnsi" w:cstheme="minorHAnsi"/>
                <w:sz w:val="24"/>
                <w:szCs w:val="24"/>
                <w:lang w:val="en-US"/>
              </w:rPr>
            </w:pPr>
          </w:p>
        </w:tc>
      </w:tr>
      <w:tr w:rsidR="00F8236B" w:rsidRPr="002C272D" w14:paraId="6967079D"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ED806CA"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14:paraId="40897742" w14:textId="77777777" w:rsidR="00F8236B" w:rsidRPr="00BE0454" w:rsidRDefault="00F8236B">
            <w:pPr>
              <w:pStyle w:val="Tabletext"/>
              <w:ind w:left="284"/>
              <w:rPr>
                <w:rFonts w:asciiTheme="minorHAnsi" w:hAnsiTheme="minorHAnsi" w:cstheme="minorHAnsi"/>
                <w:strike/>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74B0ECD3" w14:textId="77777777" w:rsidR="00F8236B" w:rsidRPr="00BE0454" w:rsidRDefault="00F8236B">
            <w:pPr>
              <w:pStyle w:val="Tabletext"/>
              <w:rPr>
                <w:rFonts w:asciiTheme="minorHAnsi" w:hAnsiTheme="minorHAnsi" w:cstheme="minorHAnsi"/>
                <w:strike/>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14:paraId="427A504A" w14:textId="77777777" w:rsidR="00F8236B" w:rsidRPr="00BE0454" w:rsidRDefault="00F8236B">
            <w:pPr>
              <w:pStyle w:val="Tabletext"/>
              <w:rPr>
                <w:rFonts w:asciiTheme="minorHAnsi" w:hAnsiTheme="minorHAnsi" w:cstheme="minorHAnsi"/>
                <w:strike/>
                <w:sz w:val="24"/>
                <w:szCs w:val="24"/>
                <w:lang w:val="en-US"/>
              </w:rPr>
            </w:pPr>
          </w:p>
        </w:tc>
      </w:tr>
      <w:tr w:rsidR="00F8236B" w:rsidRPr="002C272D" w14:paraId="11BD87AB" w14:textId="77777777"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309BFEFB" w14:textId="77777777"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12" w:space="0" w:color="auto"/>
              <w:right w:val="single" w:sz="4" w:space="0" w:color="auto"/>
            </w:tcBorders>
          </w:tcPr>
          <w:p w14:paraId="6B91C111" w14:textId="77777777"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12" w:space="0" w:color="auto"/>
              <w:right w:val="single" w:sz="4" w:space="0" w:color="auto"/>
            </w:tcBorders>
          </w:tcPr>
          <w:p w14:paraId="51A899DE" w14:textId="77777777"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12" w:space="0" w:color="auto"/>
              <w:right w:val="single" w:sz="12" w:space="0" w:color="auto"/>
            </w:tcBorders>
          </w:tcPr>
          <w:p w14:paraId="4C23BAAE" w14:textId="77777777" w:rsidR="00F8236B" w:rsidRPr="002C272D" w:rsidRDefault="00F8236B">
            <w:pPr>
              <w:pStyle w:val="Tabletext"/>
              <w:rPr>
                <w:rFonts w:asciiTheme="minorHAnsi" w:hAnsiTheme="minorHAnsi" w:cstheme="minorHAnsi"/>
                <w:sz w:val="24"/>
                <w:szCs w:val="24"/>
                <w:lang w:val="en-US"/>
              </w:rPr>
            </w:pPr>
          </w:p>
        </w:tc>
      </w:tr>
    </w:tbl>
    <w:p w14:paraId="2F0A7886" w14:textId="77777777" w:rsidR="00F8236B" w:rsidRPr="002C272D" w:rsidRDefault="00F8236B" w:rsidP="003D7BA3">
      <w:pPr>
        <w:spacing w:line="240" w:lineRule="auto"/>
        <w:rPr>
          <w:rFonts w:cstheme="minorHAnsi"/>
          <w:szCs w:val="24"/>
        </w:rPr>
      </w:pPr>
    </w:p>
    <w:p w14:paraId="3FBE7882" w14:textId="77777777" w:rsidR="00F8236B" w:rsidRPr="002C272D" w:rsidRDefault="00F8236B" w:rsidP="003D7BA3">
      <w:pPr>
        <w:spacing w:line="240" w:lineRule="auto"/>
        <w:rPr>
          <w:rFonts w:cstheme="minorHAnsi"/>
          <w:szCs w:val="24"/>
        </w:rPr>
      </w:pPr>
      <w:r w:rsidRPr="002C272D">
        <w:rPr>
          <w:rFonts w:cstheme="minorHAnsi"/>
          <w:szCs w:val="24"/>
        </w:rPr>
        <w:br w:type="page"/>
      </w:r>
    </w:p>
    <w:p w14:paraId="0A3C48A4" w14:textId="77777777" w:rsidR="00F8236B" w:rsidRDefault="00F8236B"/>
    <w:p w14:paraId="45BB732D" w14:textId="77777777" w:rsidR="0055030B" w:rsidRDefault="0055030B"/>
    <w:sectPr w:rsidR="0055030B" w:rsidSect="00BE0454">
      <w:pgSz w:w="11907" w:h="16840" w:code="9"/>
      <w:pgMar w:top="1089" w:right="1089" w:bottom="1089" w:left="1089" w:header="482" w:footer="482"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00E44"/>
    <w:multiLevelType w:val="hybridMultilevel"/>
    <w:tmpl w:val="73A0542A"/>
    <w:lvl w:ilvl="0" w:tplc="DA22D83E">
      <w:start w:val="15"/>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DF1DF0"/>
    <w:multiLevelType w:val="hybridMultilevel"/>
    <w:tmpl w:val="568E1CAE"/>
    <w:lvl w:ilvl="0" w:tplc="48D222F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6E43FC"/>
    <w:multiLevelType w:val="hybridMultilevel"/>
    <w:tmpl w:val="DD14EE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113B84"/>
    <w:multiLevelType w:val="multilevel"/>
    <w:tmpl w:val="DFC2D29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3C2D25"/>
    <w:multiLevelType w:val="hybridMultilevel"/>
    <w:tmpl w:val="B96284DE"/>
    <w:lvl w:ilvl="0" w:tplc="734ED1B4">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2A917D3"/>
    <w:multiLevelType w:val="multilevel"/>
    <w:tmpl w:val="12A917D3"/>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42B6708"/>
    <w:multiLevelType w:val="hybridMultilevel"/>
    <w:tmpl w:val="3CCCBA64"/>
    <w:lvl w:ilvl="0" w:tplc="8E9093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47760AA"/>
    <w:multiLevelType w:val="hybridMultilevel"/>
    <w:tmpl w:val="CC325496"/>
    <w:lvl w:ilvl="0" w:tplc="4AA62B7E">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8" w15:restartNumberingAfterBreak="0">
    <w:nsid w:val="17AF3F70"/>
    <w:multiLevelType w:val="hybridMultilevel"/>
    <w:tmpl w:val="3496D0BC"/>
    <w:lvl w:ilvl="0" w:tplc="DD8CF9F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9" w15:restartNumberingAfterBreak="0">
    <w:nsid w:val="1C4B2520"/>
    <w:multiLevelType w:val="hybridMultilevel"/>
    <w:tmpl w:val="03FAC940"/>
    <w:lvl w:ilvl="0" w:tplc="723CDE18">
      <w:numFmt w:val="bullet"/>
      <w:lvlText w:val=""/>
      <w:lvlJc w:val="left"/>
      <w:pPr>
        <w:ind w:left="720" w:hanging="360"/>
      </w:pPr>
      <w:rPr>
        <w:rFonts w:ascii="Symbol" w:eastAsiaTheme="minorHAnsi" w:hAnsi="Symbol"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EEB638F"/>
    <w:multiLevelType w:val="singleLevel"/>
    <w:tmpl w:val="A3660744"/>
    <w:lvl w:ilvl="0">
      <w:start w:val="1"/>
      <w:numFmt w:val="decimal"/>
      <w:lvlText w:val="%1."/>
      <w:lvlJc w:val="left"/>
      <w:pPr>
        <w:ind w:left="360" w:hanging="360"/>
      </w:pPr>
      <w:rPr>
        <w:color w:val="auto"/>
      </w:rPr>
    </w:lvl>
  </w:abstractNum>
  <w:abstractNum w:abstractNumId="11" w15:restartNumberingAfterBreak="0">
    <w:nsid w:val="23436CC2"/>
    <w:multiLevelType w:val="hybridMultilevel"/>
    <w:tmpl w:val="1FB48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3A7300"/>
    <w:multiLevelType w:val="hybridMultilevel"/>
    <w:tmpl w:val="B8EE1D84"/>
    <w:lvl w:ilvl="0" w:tplc="C6B6C016">
      <w:start w:val="1"/>
      <w:numFmt w:val="decimal"/>
      <w:lvlText w:val="%1."/>
      <w:lvlJc w:val="left"/>
      <w:pPr>
        <w:ind w:left="360" w:hanging="360"/>
      </w:pPr>
      <w:rPr>
        <w:i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8853EDE"/>
    <w:multiLevelType w:val="hybridMultilevel"/>
    <w:tmpl w:val="DD28C9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BC73EE4"/>
    <w:multiLevelType w:val="hybridMultilevel"/>
    <w:tmpl w:val="DD989704"/>
    <w:lvl w:ilvl="0" w:tplc="9176E300">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15" w15:restartNumberingAfterBreak="0">
    <w:nsid w:val="2DF54161"/>
    <w:multiLevelType w:val="hybridMultilevel"/>
    <w:tmpl w:val="123C079C"/>
    <w:lvl w:ilvl="0" w:tplc="2CD411D8">
      <w:start w:val="1"/>
      <w:numFmt w:val="decimal"/>
      <w:lvlText w:val="%1."/>
      <w:lvlJc w:val="left"/>
      <w:pPr>
        <w:ind w:left="360" w:hanging="360"/>
      </w:pPr>
      <w:rPr>
        <w:i w:val="0"/>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31F53E95"/>
    <w:multiLevelType w:val="hybridMultilevel"/>
    <w:tmpl w:val="0C00A462"/>
    <w:lvl w:ilvl="0" w:tplc="7138FEFE">
      <w:start w:val="1"/>
      <w:numFmt w:val="bullet"/>
      <w:lvlText w:val="-"/>
      <w:lvlJc w:val="left"/>
      <w:pPr>
        <w:ind w:left="927" w:hanging="360"/>
      </w:pPr>
      <w:rPr>
        <w:rFonts w:ascii="Times New Roman" w:eastAsiaTheme="minorHAnsi"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7" w15:restartNumberingAfterBreak="0">
    <w:nsid w:val="37032470"/>
    <w:multiLevelType w:val="multilevel"/>
    <w:tmpl w:val="E3780CF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CA6D7A"/>
    <w:multiLevelType w:val="hybridMultilevel"/>
    <w:tmpl w:val="5762CFD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38D16DB6"/>
    <w:multiLevelType w:val="hybridMultilevel"/>
    <w:tmpl w:val="36BE7874"/>
    <w:lvl w:ilvl="0" w:tplc="FD5C3EC4">
      <w:start w:val="1"/>
      <w:numFmt w:val="bullet"/>
      <w:lvlText w:val="-"/>
      <w:lvlJc w:val="left"/>
      <w:pPr>
        <w:ind w:left="1120" w:hanging="360"/>
      </w:pPr>
      <w:rPr>
        <w:rFonts w:ascii="Times New Roman" w:eastAsia="Malgun Gothic" w:hAnsi="Times New Roman" w:cs="Times New Roman" w:hint="default"/>
      </w:rPr>
    </w:lvl>
    <w:lvl w:ilvl="1" w:tplc="89EA560C">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0" w15:restartNumberingAfterBreak="0">
    <w:nsid w:val="3A812D1A"/>
    <w:multiLevelType w:val="hybridMultilevel"/>
    <w:tmpl w:val="DD989704"/>
    <w:lvl w:ilvl="0" w:tplc="9176E300">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21" w15:restartNumberingAfterBreak="0">
    <w:nsid w:val="3F54363B"/>
    <w:multiLevelType w:val="hybridMultilevel"/>
    <w:tmpl w:val="B8EE1D84"/>
    <w:lvl w:ilvl="0" w:tplc="C6B6C016">
      <w:start w:val="1"/>
      <w:numFmt w:val="decimal"/>
      <w:lvlText w:val="%1."/>
      <w:lvlJc w:val="left"/>
      <w:pPr>
        <w:ind w:left="360" w:hanging="360"/>
      </w:pPr>
      <w:rPr>
        <w:i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15:restartNumberingAfterBreak="0">
    <w:nsid w:val="42533A7E"/>
    <w:multiLevelType w:val="hybridMultilevel"/>
    <w:tmpl w:val="5B62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76722A"/>
    <w:multiLevelType w:val="hybridMultilevel"/>
    <w:tmpl w:val="6570F75E"/>
    <w:lvl w:ilvl="0" w:tplc="FD5C3EC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C46125"/>
    <w:multiLevelType w:val="hybridMultilevel"/>
    <w:tmpl w:val="2C42486C"/>
    <w:lvl w:ilvl="0" w:tplc="F91AF8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1382820"/>
    <w:multiLevelType w:val="hybridMultilevel"/>
    <w:tmpl w:val="52EA5F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334DBD"/>
    <w:multiLevelType w:val="hybridMultilevel"/>
    <w:tmpl w:val="09D8E6F4"/>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E971C89"/>
    <w:multiLevelType w:val="hybridMultilevel"/>
    <w:tmpl w:val="F530F2F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6371CB1"/>
    <w:multiLevelType w:val="hybridMultilevel"/>
    <w:tmpl w:val="C60AFE64"/>
    <w:lvl w:ilvl="0" w:tplc="BD980644">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AD41A6"/>
    <w:multiLevelType w:val="hybridMultilevel"/>
    <w:tmpl w:val="9EAA6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8A18D7"/>
    <w:multiLevelType w:val="singleLevel"/>
    <w:tmpl w:val="0809000F"/>
    <w:lvl w:ilvl="0">
      <w:start w:val="1"/>
      <w:numFmt w:val="decimal"/>
      <w:lvlText w:val="%1."/>
      <w:lvlJc w:val="left"/>
      <w:pPr>
        <w:ind w:left="360" w:hanging="360"/>
      </w:pPr>
    </w:lvl>
  </w:abstractNum>
  <w:abstractNum w:abstractNumId="31" w15:restartNumberingAfterBreak="0">
    <w:nsid w:val="6DD72F57"/>
    <w:multiLevelType w:val="multilevel"/>
    <w:tmpl w:val="982EC02C"/>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07D4164"/>
    <w:multiLevelType w:val="hybridMultilevel"/>
    <w:tmpl w:val="DA6C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BE4BCF"/>
    <w:multiLevelType w:val="singleLevel"/>
    <w:tmpl w:val="0809000F"/>
    <w:lvl w:ilvl="0">
      <w:start w:val="1"/>
      <w:numFmt w:val="decimal"/>
      <w:lvlText w:val="%1."/>
      <w:lvlJc w:val="left"/>
      <w:pPr>
        <w:ind w:left="360" w:hanging="360"/>
      </w:pPr>
    </w:lvl>
  </w:abstractNum>
  <w:abstractNum w:abstractNumId="34" w15:restartNumberingAfterBreak="0">
    <w:nsid w:val="7496004D"/>
    <w:multiLevelType w:val="multilevel"/>
    <w:tmpl w:val="2CB2F014"/>
    <w:lvl w:ilvl="0">
      <w:start w:val="1"/>
      <w:numFmt w:val="decimal"/>
      <w:lvlText w:val="%1."/>
      <w:lvlJc w:val="left"/>
      <w:pPr>
        <w:ind w:left="720" w:hanging="360"/>
      </w:pPr>
      <w:rPr>
        <w:sz w:val="24"/>
        <w:szCs w:val="24"/>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5168EF"/>
    <w:multiLevelType w:val="hybridMultilevel"/>
    <w:tmpl w:val="2758E816"/>
    <w:lvl w:ilvl="0" w:tplc="199CD6FA">
      <w:start w:val="1"/>
      <w:numFmt w:val="decimal"/>
      <w:lvlText w:val="%1."/>
      <w:lvlJc w:val="left"/>
      <w:pPr>
        <w:ind w:left="360" w:hanging="360"/>
      </w:pPr>
      <w:rPr>
        <w:i w:val="0"/>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6" w15:restartNumberingAfterBreak="0">
    <w:nsid w:val="7A42034D"/>
    <w:multiLevelType w:val="hybridMultilevel"/>
    <w:tmpl w:val="4BDCCF18"/>
    <w:lvl w:ilvl="0" w:tplc="C1904458">
      <w:start w:val="1"/>
      <w:numFmt w:val="bullet"/>
      <w:lvlText w:val="-"/>
      <w:lvlJc w:val="left"/>
      <w:pPr>
        <w:ind w:left="927" w:hanging="360"/>
      </w:pPr>
      <w:rPr>
        <w:rFonts w:ascii="Times New Roman" w:eastAsiaTheme="minorHAnsi"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num w:numId="1">
    <w:abstractNumId w:val="18"/>
  </w:num>
  <w:num w:numId="2">
    <w:abstractNumId w:val="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3"/>
  </w:num>
  <w:num w:numId="8">
    <w:abstractNumId w:val="25"/>
  </w:num>
  <w:num w:numId="9">
    <w:abstractNumId w:val="11"/>
  </w:num>
  <w:num w:numId="10">
    <w:abstractNumId w:val="4"/>
  </w:num>
  <w:num w:numId="11">
    <w:abstractNumId w:val="3"/>
  </w:num>
  <w:num w:numId="12">
    <w:abstractNumId w:val="32"/>
  </w:num>
  <w:num w:numId="13">
    <w:abstractNumId w:val="16"/>
  </w:num>
  <w:num w:numId="14">
    <w:abstractNumId w:val="36"/>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9"/>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num>
  <w:num w:numId="21">
    <w:abstractNumId w:val="10"/>
    <w:lvlOverride w:ilvl="0">
      <w:startOverride w:val="1"/>
    </w:lvlOverride>
  </w:num>
  <w:num w:numId="22">
    <w:abstractNumId w:val="33"/>
    <w:lvlOverride w:ilvl="0">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4"/>
  </w:num>
  <w:num w:numId="28">
    <w:abstractNumId w:val="17"/>
  </w:num>
  <w:num w:numId="29">
    <w:abstractNumId w:val="31"/>
  </w:num>
  <w:num w:numId="30">
    <w:abstractNumId w:val="20"/>
  </w:num>
  <w:num w:numId="31">
    <w:abstractNumId w:val="14"/>
  </w:num>
  <w:num w:numId="32">
    <w:abstractNumId w:val="1"/>
  </w:num>
  <w:num w:numId="33">
    <w:abstractNumId w:val="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36B"/>
    <w:rsid w:val="004042AD"/>
    <w:rsid w:val="0055030B"/>
    <w:rsid w:val="00556D0A"/>
    <w:rsid w:val="0091647C"/>
    <w:rsid w:val="0094693E"/>
    <w:rsid w:val="00BE0454"/>
    <w:rsid w:val="00D24D30"/>
    <w:rsid w:val="00D93BD2"/>
    <w:rsid w:val="00F7143C"/>
    <w:rsid w:val="00F823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640FE"/>
  <w15:chartTrackingRefBased/>
  <w15:docId w15:val="{62BF02A6-60B7-4487-8449-B33D45B7D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D0A"/>
    <w:rPr>
      <w:sz w:val="24"/>
    </w:rPr>
  </w:style>
  <w:style w:type="paragraph" w:styleId="Heading1">
    <w:name w:val="heading 1"/>
    <w:basedOn w:val="Normal"/>
    <w:next w:val="Normal"/>
    <w:link w:val="Heading1Char"/>
    <w:qFormat/>
    <w:rsid w:val="00F823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F823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F8236B"/>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semiHidden/>
    <w:unhideWhenUsed/>
    <w:qFormat/>
    <w:rsid w:val="00F8236B"/>
    <w:pPr>
      <w:tabs>
        <w:tab w:val="left" w:pos="1021"/>
        <w:tab w:val="left" w:pos="1191"/>
        <w:tab w:val="left" w:pos="1588"/>
        <w:tab w:val="left" w:pos="1985"/>
      </w:tabs>
      <w:overflowPunct w:val="0"/>
      <w:autoSpaceDE w:val="0"/>
      <w:autoSpaceDN w:val="0"/>
      <w:adjustRightInd w:val="0"/>
      <w:spacing w:before="160" w:line="240" w:lineRule="auto"/>
      <w:ind w:left="1021" w:hanging="1021"/>
      <w:outlineLvl w:val="3"/>
    </w:pPr>
    <w:rPr>
      <w:rFonts w:ascii="Times New Roman" w:eastAsia="Times New Roman" w:hAnsi="Times New Roman" w:cs="Times New Roman"/>
      <w:b/>
      <w:color w:val="auto"/>
      <w:szCs w:val="20"/>
      <w:lang w:eastAsia="en-US"/>
    </w:rPr>
  </w:style>
  <w:style w:type="paragraph" w:styleId="Heading5">
    <w:name w:val="heading 5"/>
    <w:basedOn w:val="Heading4"/>
    <w:next w:val="Normal"/>
    <w:link w:val="Heading5Char"/>
    <w:semiHidden/>
    <w:unhideWhenUsed/>
    <w:qFormat/>
    <w:rsid w:val="00F8236B"/>
    <w:pPr>
      <w:outlineLvl w:val="4"/>
    </w:pPr>
  </w:style>
  <w:style w:type="paragraph" w:styleId="Heading6">
    <w:name w:val="heading 6"/>
    <w:basedOn w:val="Heading4"/>
    <w:next w:val="Normal"/>
    <w:link w:val="Heading6Char"/>
    <w:semiHidden/>
    <w:unhideWhenUsed/>
    <w:qFormat/>
    <w:rsid w:val="00F8236B"/>
    <w:pPr>
      <w:tabs>
        <w:tab w:val="clear" w:pos="1021"/>
        <w:tab w:val="clear" w:pos="1191"/>
      </w:tabs>
      <w:ind w:left="1588" w:hanging="1588"/>
      <w:outlineLvl w:val="5"/>
    </w:pPr>
  </w:style>
  <w:style w:type="paragraph" w:styleId="Heading7">
    <w:name w:val="heading 7"/>
    <w:basedOn w:val="Heading6"/>
    <w:next w:val="Normal"/>
    <w:link w:val="Heading7Char"/>
    <w:semiHidden/>
    <w:unhideWhenUsed/>
    <w:qFormat/>
    <w:rsid w:val="00F8236B"/>
    <w:pPr>
      <w:outlineLvl w:val="6"/>
    </w:pPr>
  </w:style>
  <w:style w:type="paragraph" w:styleId="Heading8">
    <w:name w:val="heading 8"/>
    <w:basedOn w:val="Heading6"/>
    <w:next w:val="Normal"/>
    <w:link w:val="Heading8Char"/>
    <w:semiHidden/>
    <w:unhideWhenUsed/>
    <w:qFormat/>
    <w:rsid w:val="00F8236B"/>
    <w:pPr>
      <w:outlineLvl w:val="7"/>
    </w:pPr>
  </w:style>
  <w:style w:type="paragraph" w:styleId="Heading9">
    <w:name w:val="heading 9"/>
    <w:basedOn w:val="Heading6"/>
    <w:next w:val="Normal"/>
    <w:link w:val="Heading9Char"/>
    <w:semiHidden/>
    <w:unhideWhenUsed/>
    <w:qFormat/>
    <w:rsid w:val="00F823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236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F8236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F8236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F8236B"/>
    <w:rPr>
      <w:rFonts w:ascii="Times New Roman" w:eastAsia="Times New Roman" w:hAnsi="Times New Roman" w:cs="Times New Roman"/>
      <w:b/>
      <w:sz w:val="24"/>
      <w:szCs w:val="20"/>
      <w:lang w:eastAsia="en-US"/>
    </w:rPr>
  </w:style>
  <w:style w:type="character" w:customStyle="1" w:styleId="Heading5Char">
    <w:name w:val="Heading 5 Char"/>
    <w:basedOn w:val="DefaultParagraphFont"/>
    <w:link w:val="Heading5"/>
    <w:semiHidden/>
    <w:rsid w:val="00F8236B"/>
    <w:rPr>
      <w:rFonts w:ascii="Times New Roman" w:eastAsia="Times New Roman" w:hAnsi="Times New Roman" w:cs="Times New Roman"/>
      <w:b/>
      <w:sz w:val="24"/>
      <w:szCs w:val="20"/>
      <w:lang w:eastAsia="en-US"/>
    </w:rPr>
  </w:style>
  <w:style w:type="character" w:customStyle="1" w:styleId="Heading6Char">
    <w:name w:val="Heading 6 Char"/>
    <w:basedOn w:val="DefaultParagraphFont"/>
    <w:link w:val="Heading6"/>
    <w:semiHidden/>
    <w:rsid w:val="00F8236B"/>
    <w:rPr>
      <w:rFonts w:ascii="Times New Roman" w:eastAsia="Times New Roman" w:hAnsi="Times New Roman" w:cs="Times New Roman"/>
      <w:b/>
      <w:sz w:val="24"/>
      <w:szCs w:val="20"/>
      <w:lang w:eastAsia="en-US"/>
    </w:rPr>
  </w:style>
  <w:style w:type="character" w:customStyle="1" w:styleId="Heading7Char">
    <w:name w:val="Heading 7 Char"/>
    <w:basedOn w:val="DefaultParagraphFont"/>
    <w:link w:val="Heading7"/>
    <w:semiHidden/>
    <w:rsid w:val="00F8236B"/>
    <w:rPr>
      <w:rFonts w:ascii="Times New Roman" w:eastAsia="Times New Roman" w:hAnsi="Times New Roman" w:cs="Times New Roman"/>
      <w:b/>
      <w:sz w:val="24"/>
      <w:szCs w:val="20"/>
      <w:lang w:eastAsia="en-US"/>
    </w:rPr>
  </w:style>
  <w:style w:type="character" w:customStyle="1" w:styleId="Heading8Char">
    <w:name w:val="Heading 8 Char"/>
    <w:basedOn w:val="DefaultParagraphFont"/>
    <w:link w:val="Heading8"/>
    <w:semiHidden/>
    <w:rsid w:val="00F8236B"/>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semiHidden/>
    <w:rsid w:val="00F8236B"/>
    <w:rPr>
      <w:rFonts w:ascii="Times New Roman" w:eastAsia="Times New Roman" w:hAnsi="Times New Roman" w:cs="Times New Roman"/>
      <w:b/>
      <w:sz w:val="24"/>
      <w:szCs w:val="20"/>
      <w:lang w:eastAsia="en-US"/>
    </w:rPr>
  </w:style>
  <w:style w:type="paragraph" w:styleId="ListParagraph">
    <w:name w:val="List Paragraph"/>
    <w:basedOn w:val="Normal"/>
    <w:link w:val="ListParagraphChar"/>
    <w:uiPriority w:val="34"/>
    <w:qFormat/>
    <w:rsid w:val="00F8236B"/>
    <w:pPr>
      <w:spacing w:after="0" w:line="240" w:lineRule="auto"/>
      <w:ind w:left="720"/>
    </w:pPr>
    <w:rPr>
      <w:sz w:val="22"/>
    </w:rPr>
  </w:style>
  <w:style w:type="character" w:customStyle="1" w:styleId="ListParagraphChar">
    <w:name w:val="List Paragraph Char"/>
    <w:link w:val="ListParagraph"/>
    <w:uiPriority w:val="34"/>
    <w:qFormat/>
    <w:locked/>
    <w:rsid w:val="00F8236B"/>
  </w:style>
  <w:style w:type="paragraph" w:styleId="Title">
    <w:name w:val="Title"/>
    <w:basedOn w:val="Normal"/>
    <w:next w:val="Normal"/>
    <w:link w:val="TitleChar"/>
    <w:uiPriority w:val="10"/>
    <w:qFormat/>
    <w:rsid w:val="00F82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236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82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8236B"/>
    <w:pPr>
      <w:spacing w:after="0" w:line="240" w:lineRule="auto"/>
    </w:pPr>
    <w:rPr>
      <w:rFonts w:ascii="Times New Roman" w:eastAsia="Calibri" w:hAnsi="Times New Roman" w:cs="Times New Roman"/>
      <w:szCs w:val="24"/>
      <w:lang w:val="da-DK" w:eastAsia="da-DK"/>
    </w:rPr>
  </w:style>
  <w:style w:type="character" w:customStyle="1" w:styleId="DocnumberChar">
    <w:name w:val="Docnumber Char"/>
    <w:link w:val="Docnumber"/>
    <w:locked/>
    <w:rsid w:val="00F8236B"/>
    <w:rPr>
      <w:rFonts w:ascii="Times New Roman" w:eastAsia="SimSun" w:hAnsi="Times New Roman" w:cs="Times New Roman"/>
      <w:b/>
      <w:sz w:val="32"/>
      <w:szCs w:val="20"/>
      <w:lang w:eastAsia="en-US"/>
    </w:rPr>
  </w:style>
  <w:style w:type="paragraph" w:customStyle="1" w:styleId="Docnumber">
    <w:name w:val="Docnumber"/>
    <w:basedOn w:val="Normal"/>
    <w:link w:val="DocnumberChar"/>
    <w:rsid w:val="00F8236B"/>
    <w:pPr>
      <w:tabs>
        <w:tab w:val="left" w:pos="794"/>
        <w:tab w:val="left" w:pos="1191"/>
        <w:tab w:val="left" w:pos="1588"/>
        <w:tab w:val="left" w:pos="1985"/>
      </w:tabs>
      <w:overflowPunct w:val="0"/>
      <w:autoSpaceDE w:val="0"/>
      <w:autoSpaceDN w:val="0"/>
      <w:adjustRightInd w:val="0"/>
      <w:spacing w:before="120" w:after="0" w:line="240" w:lineRule="auto"/>
      <w:jc w:val="right"/>
    </w:pPr>
    <w:rPr>
      <w:rFonts w:ascii="Times New Roman" w:eastAsia="SimSun" w:hAnsi="Times New Roman" w:cs="Times New Roman"/>
      <w:b/>
      <w:sz w:val="32"/>
      <w:szCs w:val="20"/>
      <w:lang w:eastAsia="en-US"/>
    </w:rPr>
  </w:style>
  <w:style w:type="character" w:customStyle="1" w:styleId="enumlev1Char">
    <w:name w:val="enumlev1 Char"/>
    <w:link w:val="enumlev1"/>
    <w:locked/>
    <w:rsid w:val="00F8236B"/>
    <w:rPr>
      <w:rFonts w:ascii="Times New Roman" w:eastAsia="Times New Roman" w:hAnsi="Times New Roman" w:cs="Times New Roman"/>
      <w:sz w:val="24"/>
      <w:szCs w:val="20"/>
      <w:lang w:eastAsia="en-US"/>
    </w:rPr>
  </w:style>
  <w:style w:type="paragraph" w:customStyle="1" w:styleId="enumlev1">
    <w:name w:val="enumlev1"/>
    <w:basedOn w:val="Normal"/>
    <w:link w:val="enumlev1Char"/>
    <w:qFormat/>
    <w:rsid w:val="00F8236B"/>
    <w:pPr>
      <w:tabs>
        <w:tab w:val="left" w:pos="794"/>
        <w:tab w:val="left" w:pos="1191"/>
        <w:tab w:val="left" w:pos="1588"/>
        <w:tab w:val="left" w:pos="1985"/>
      </w:tabs>
      <w:overflowPunct w:val="0"/>
      <w:autoSpaceDE w:val="0"/>
      <w:autoSpaceDN w:val="0"/>
      <w:adjustRightInd w:val="0"/>
      <w:spacing w:before="80" w:after="0" w:line="240" w:lineRule="auto"/>
      <w:ind w:left="794" w:hanging="794"/>
    </w:pPr>
    <w:rPr>
      <w:rFonts w:ascii="Times New Roman" w:eastAsia="Times New Roman" w:hAnsi="Times New Roman" w:cs="Times New Roman"/>
      <w:szCs w:val="20"/>
      <w:lang w:eastAsia="en-US"/>
    </w:rPr>
  </w:style>
  <w:style w:type="character" w:customStyle="1" w:styleId="ResNoChar">
    <w:name w:val="Res_No Char"/>
    <w:link w:val="ResNo"/>
    <w:locked/>
    <w:rsid w:val="00F8236B"/>
    <w:rPr>
      <w:rFonts w:ascii="Times New Roman" w:eastAsia="Times New Roman" w:hAnsi="Times New Roman Bold" w:cs="Times New Roman"/>
      <w:sz w:val="28"/>
      <w:szCs w:val="20"/>
      <w:lang w:eastAsia="en-US"/>
    </w:rPr>
  </w:style>
  <w:style w:type="paragraph" w:customStyle="1" w:styleId="ResNo">
    <w:name w:val="Res_No"/>
    <w:basedOn w:val="Normal"/>
    <w:next w:val="Normal"/>
    <w:link w:val="ResNoChar"/>
    <w:rsid w:val="00F8236B"/>
    <w:pPr>
      <w:keepNext/>
      <w:keepLines/>
      <w:tabs>
        <w:tab w:val="left" w:pos="1134"/>
        <w:tab w:val="left" w:pos="1871"/>
        <w:tab w:val="left" w:pos="2268"/>
      </w:tabs>
      <w:overflowPunct w:val="0"/>
      <w:autoSpaceDE w:val="0"/>
      <w:autoSpaceDN w:val="0"/>
      <w:adjustRightInd w:val="0"/>
      <w:spacing w:before="480" w:after="0" w:line="240" w:lineRule="auto"/>
      <w:jc w:val="center"/>
    </w:pPr>
    <w:rPr>
      <w:rFonts w:ascii="Times New Roman" w:eastAsia="Times New Roman" w:hAnsi="Times New Roman Bold" w:cs="Times New Roman"/>
      <w:sz w:val="28"/>
      <w:szCs w:val="20"/>
      <w:lang w:eastAsia="en-US"/>
    </w:rPr>
  </w:style>
  <w:style w:type="paragraph" w:customStyle="1" w:styleId="Restitle">
    <w:name w:val="Res_title"/>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240" w:after="0" w:line="240" w:lineRule="auto"/>
      <w:jc w:val="center"/>
    </w:pPr>
    <w:rPr>
      <w:rFonts w:ascii="Times New Roman Bold" w:eastAsia="Times New Roman" w:hAnsi="Times New Roman Bold" w:cs="Times New Roman Bold"/>
      <w:b/>
      <w:bCs/>
      <w:sz w:val="28"/>
      <w:szCs w:val="20"/>
      <w:lang w:eastAsia="en-US"/>
    </w:rPr>
  </w:style>
  <w:style w:type="paragraph" w:customStyle="1" w:styleId="AnnexNo">
    <w:name w:val="Annex_No"/>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480" w:after="80" w:line="240" w:lineRule="auto"/>
      <w:jc w:val="center"/>
    </w:pPr>
    <w:rPr>
      <w:rFonts w:ascii="Times New Roman" w:eastAsia="Times New Roman" w:hAnsi="Times New Roman" w:cs="Times New Roman"/>
      <w:caps/>
      <w:sz w:val="28"/>
      <w:szCs w:val="20"/>
      <w:lang w:eastAsia="en-US"/>
    </w:rPr>
  </w:style>
  <w:style w:type="paragraph" w:customStyle="1" w:styleId="Annextitle">
    <w:name w:val="Annex_title"/>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240" w:after="280" w:line="240" w:lineRule="auto"/>
      <w:jc w:val="center"/>
    </w:pPr>
    <w:rPr>
      <w:rFonts w:ascii="Times New Roman Bold" w:eastAsia="Times New Roman" w:hAnsi="Times New Roman Bold" w:cs="Times New Roman"/>
      <w:b/>
      <w:sz w:val="28"/>
      <w:szCs w:val="20"/>
      <w:lang w:eastAsia="en-US"/>
    </w:rPr>
  </w:style>
  <w:style w:type="paragraph" w:customStyle="1" w:styleId="Call">
    <w:name w:val="Call"/>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160" w:after="0" w:line="240" w:lineRule="auto"/>
      <w:ind w:left="1134"/>
    </w:pPr>
    <w:rPr>
      <w:rFonts w:ascii="Times New Roman" w:eastAsia="Times New Roman" w:hAnsi="Times New Roman" w:cs="Times New Roman"/>
      <w:i/>
      <w:szCs w:val="20"/>
      <w:lang w:eastAsia="en-US"/>
    </w:rPr>
  </w:style>
  <w:style w:type="paragraph" w:customStyle="1" w:styleId="Committee">
    <w:name w:val="Committee"/>
    <w:basedOn w:val="Normal"/>
    <w:uiPriority w:val="99"/>
    <w:qFormat/>
    <w:rsid w:val="00F8236B"/>
    <w:pPr>
      <w:tabs>
        <w:tab w:val="left" w:pos="851"/>
        <w:tab w:val="left" w:pos="1134"/>
        <w:tab w:val="left" w:pos="1871"/>
        <w:tab w:val="left" w:pos="2268"/>
      </w:tabs>
      <w:overflowPunct w:val="0"/>
      <w:autoSpaceDE w:val="0"/>
      <w:autoSpaceDN w:val="0"/>
      <w:adjustRightInd w:val="0"/>
      <w:spacing w:after="0" w:line="240" w:lineRule="atLeast"/>
    </w:pPr>
    <w:rPr>
      <w:rFonts w:ascii="Times New Roman" w:eastAsia="Times New Roman" w:hAnsi="Times New Roman" w:cstheme="minorHAnsi"/>
      <w:b/>
      <w:szCs w:val="24"/>
      <w:lang w:eastAsia="en-US"/>
    </w:rPr>
  </w:style>
  <w:style w:type="paragraph" w:customStyle="1" w:styleId="Normalaftertitle">
    <w:name w:val="Normal after title"/>
    <w:basedOn w:val="Normal"/>
    <w:next w:val="Normal"/>
    <w:uiPriority w:val="99"/>
    <w:rsid w:val="00F8236B"/>
    <w:pPr>
      <w:tabs>
        <w:tab w:val="left" w:pos="1134"/>
        <w:tab w:val="left" w:pos="1871"/>
        <w:tab w:val="left" w:pos="2268"/>
      </w:tabs>
      <w:overflowPunct w:val="0"/>
      <w:autoSpaceDE w:val="0"/>
      <w:autoSpaceDN w:val="0"/>
      <w:adjustRightInd w:val="0"/>
      <w:spacing w:before="280" w:after="0" w:line="240" w:lineRule="auto"/>
    </w:pPr>
    <w:rPr>
      <w:rFonts w:ascii="Times New Roman" w:eastAsia="Times New Roman" w:hAnsi="Times New Roman" w:cs="Times New Roman"/>
      <w:szCs w:val="20"/>
      <w:lang w:eastAsia="en-US"/>
    </w:rPr>
  </w:style>
  <w:style w:type="paragraph" w:customStyle="1" w:styleId="Source">
    <w:name w:val="Source"/>
    <w:basedOn w:val="Normal"/>
    <w:next w:val="Normal"/>
    <w:uiPriority w:val="99"/>
    <w:rsid w:val="00F8236B"/>
    <w:pPr>
      <w:tabs>
        <w:tab w:val="left" w:pos="1134"/>
        <w:tab w:val="left" w:pos="1871"/>
        <w:tab w:val="left" w:pos="2268"/>
      </w:tabs>
      <w:overflowPunct w:val="0"/>
      <w:autoSpaceDE w:val="0"/>
      <w:autoSpaceDN w:val="0"/>
      <w:adjustRightInd w:val="0"/>
      <w:spacing w:before="840" w:after="0" w:line="240" w:lineRule="auto"/>
      <w:jc w:val="center"/>
    </w:pPr>
    <w:rPr>
      <w:rFonts w:ascii="Times New Roman" w:eastAsia="Times New Roman" w:hAnsi="Times New Roman" w:cs="Times New Roman"/>
      <w:b/>
      <w:sz w:val="28"/>
      <w:szCs w:val="20"/>
      <w:lang w:eastAsia="en-US"/>
    </w:rPr>
  </w:style>
  <w:style w:type="paragraph" w:customStyle="1" w:styleId="Title1">
    <w:name w:val="Title 1"/>
    <w:basedOn w:val="Source"/>
    <w:next w:val="Normal"/>
    <w:uiPriority w:val="99"/>
    <w:rsid w:val="00F8236B"/>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F8236B"/>
    <w:pPr>
      <w:overflowPunct/>
      <w:autoSpaceDE/>
      <w:autoSpaceDN/>
      <w:adjustRightInd/>
      <w:spacing w:before="480"/>
    </w:pPr>
    <w:rPr>
      <w:b w:val="0"/>
      <w:caps/>
    </w:rPr>
  </w:style>
  <w:style w:type="paragraph" w:customStyle="1" w:styleId="Partref">
    <w:name w:val="Part_ref"/>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120" w:after="280" w:line="240" w:lineRule="auto"/>
      <w:jc w:val="center"/>
    </w:pPr>
    <w:rPr>
      <w:rFonts w:ascii="Times New Roman" w:eastAsia="Times New Roman" w:hAnsi="Times New Roman" w:cs="Times New Roman"/>
      <w:szCs w:val="20"/>
      <w:lang w:eastAsia="en-US"/>
    </w:rPr>
  </w:style>
  <w:style w:type="paragraph" w:customStyle="1" w:styleId="TopHeader">
    <w:name w:val="TopHeader"/>
    <w:basedOn w:val="Normal"/>
    <w:uiPriority w:val="99"/>
    <w:rsid w:val="00F8236B"/>
    <w:pPr>
      <w:tabs>
        <w:tab w:val="left" w:pos="1134"/>
        <w:tab w:val="left" w:pos="1871"/>
        <w:tab w:val="left" w:pos="2268"/>
      </w:tabs>
      <w:overflowPunct w:val="0"/>
      <w:autoSpaceDE w:val="0"/>
      <w:autoSpaceDN w:val="0"/>
      <w:adjustRightInd w:val="0"/>
      <w:spacing w:before="120" w:after="0" w:line="240" w:lineRule="auto"/>
    </w:pPr>
    <w:rPr>
      <w:rFonts w:ascii="Verdana" w:eastAsia="Times New Roman" w:hAnsi="Verdana" w:cs="Times New Roman Bold"/>
      <w:b/>
      <w:bCs/>
      <w:szCs w:val="24"/>
      <w:lang w:eastAsia="en-US"/>
    </w:rPr>
  </w:style>
  <w:style w:type="character" w:styleId="Hyperlink">
    <w:name w:val="Hyperlink"/>
    <w:aliases w:val="超级链接,超?级链,CEO_Hyperlink,Style 58,超????,하이퍼링크2"/>
    <w:basedOn w:val="DefaultParagraphFont"/>
    <w:uiPriority w:val="99"/>
    <w:semiHidden/>
    <w:unhideWhenUsed/>
    <w:rsid w:val="00F8236B"/>
    <w:rPr>
      <w:rFonts w:asciiTheme="majorBidi" w:hAnsiTheme="majorBidi" w:cs="Times New Roman" w:hint="default"/>
      <w:color w:val="0000FF"/>
      <w:u w:val="single"/>
    </w:rPr>
  </w:style>
  <w:style w:type="character" w:styleId="CommentReference">
    <w:name w:val="annotation reference"/>
    <w:basedOn w:val="DefaultParagraphFont"/>
    <w:uiPriority w:val="99"/>
    <w:semiHidden/>
    <w:unhideWhenUsed/>
    <w:rsid w:val="00F8236B"/>
    <w:rPr>
      <w:sz w:val="16"/>
      <w:szCs w:val="16"/>
    </w:rPr>
  </w:style>
  <w:style w:type="paragraph" w:styleId="CommentText">
    <w:name w:val="annotation text"/>
    <w:basedOn w:val="Normal"/>
    <w:link w:val="CommentTextChar"/>
    <w:uiPriority w:val="99"/>
    <w:unhideWhenUsed/>
    <w:rsid w:val="00F8236B"/>
    <w:pPr>
      <w:spacing w:line="240" w:lineRule="auto"/>
    </w:pPr>
    <w:rPr>
      <w:sz w:val="20"/>
      <w:szCs w:val="20"/>
    </w:rPr>
  </w:style>
  <w:style w:type="character" w:customStyle="1" w:styleId="CommentTextChar">
    <w:name w:val="Comment Text Char"/>
    <w:basedOn w:val="DefaultParagraphFont"/>
    <w:link w:val="CommentText"/>
    <w:uiPriority w:val="99"/>
    <w:rsid w:val="00F8236B"/>
    <w:rPr>
      <w:sz w:val="20"/>
      <w:szCs w:val="20"/>
    </w:rPr>
  </w:style>
  <w:style w:type="paragraph" w:styleId="CommentSubject">
    <w:name w:val="annotation subject"/>
    <w:basedOn w:val="CommentText"/>
    <w:next w:val="CommentText"/>
    <w:link w:val="CommentSubjectChar"/>
    <w:uiPriority w:val="99"/>
    <w:semiHidden/>
    <w:unhideWhenUsed/>
    <w:rsid w:val="00F8236B"/>
    <w:rPr>
      <w:b/>
      <w:bCs/>
    </w:rPr>
  </w:style>
  <w:style w:type="character" w:customStyle="1" w:styleId="CommentSubjectChar">
    <w:name w:val="Comment Subject Char"/>
    <w:basedOn w:val="CommentTextChar"/>
    <w:link w:val="CommentSubject"/>
    <w:uiPriority w:val="99"/>
    <w:semiHidden/>
    <w:rsid w:val="00F8236B"/>
    <w:rPr>
      <w:b/>
      <w:bCs/>
      <w:sz w:val="20"/>
      <w:szCs w:val="20"/>
    </w:rPr>
  </w:style>
  <w:style w:type="paragraph" w:styleId="Revision">
    <w:name w:val="Revision"/>
    <w:hidden/>
    <w:uiPriority w:val="99"/>
    <w:semiHidden/>
    <w:rsid w:val="00F8236B"/>
    <w:pPr>
      <w:spacing w:after="0" w:line="240" w:lineRule="auto"/>
    </w:pPr>
    <w:rPr>
      <w:sz w:val="24"/>
    </w:rPr>
  </w:style>
  <w:style w:type="paragraph" w:customStyle="1" w:styleId="msonormal0">
    <w:name w:val="msonormal"/>
    <w:basedOn w:val="Normal"/>
    <w:rsid w:val="00F8236B"/>
    <w:pPr>
      <w:spacing w:before="100" w:beforeAutospacing="1" w:after="100" w:afterAutospacing="1" w:line="240" w:lineRule="auto"/>
    </w:pPr>
    <w:rPr>
      <w:rFonts w:ascii="Times New Roman" w:eastAsia="Times New Roman" w:hAnsi="Times New Roman" w:cs="Times New Roman"/>
      <w:szCs w:val="24"/>
    </w:rPr>
  </w:style>
  <w:style w:type="paragraph" w:styleId="TOC1">
    <w:name w:val="toc 1"/>
    <w:basedOn w:val="Normal"/>
    <w:autoRedefine/>
    <w:semiHidden/>
    <w:unhideWhenUsed/>
    <w:rsid w:val="00F8236B"/>
    <w:pPr>
      <w:keepLines/>
      <w:tabs>
        <w:tab w:val="left" w:pos="964"/>
        <w:tab w:val="left" w:leader="dot" w:pos="9356"/>
        <w:tab w:val="right" w:pos="9639"/>
      </w:tabs>
      <w:overflowPunct w:val="0"/>
      <w:autoSpaceDE w:val="0"/>
      <w:autoSpaceDN w:val="0"/>
      <w:adjustRightInd w:val="0"/>
      <w:spacing w:before="240" w:after="0" w:line="240" w:lineRule="auto"/>
      <w:ind w:left="680" w:right="851" w:hanging="680"/>
    </w:pPr>
    <w:rPr>
      <w:rFonts w:ascii="Times New Roman" w:eastAsia="Batang" w:hAnsi="Times New Roman" w:cs="Times New Roman"/>
      <w:noProof/>
      <w:szCs w:val="20"/>
      <w:lang w:eastAsia="en-US"/>
    </w:rPr>
  </w:style>
  <w:style w:type="paragraph" w:styleId="TOC2">
    <w:name w:val="toc 2"/>
    <w:basedOn w:val="TOC1"/>
    <w:autoRedefine/>
    <w:semiHidden/>
    <w:unhideWhenUsed/>
    <w:rsid w:val="00F8236B"/>
    <w:pPr>
      <w:tabs>
        <w:tab w:val="clear" w:pos="964"/>
      </w:tabs>
      <w:spacing w:before="80"/>
      <w:ind w:left="1531" w:hanging="851"/>
    </w:pPr>
  </w:style>
  <w:style w:type="character" w:customStyle="1" w:styleId="HeaderChar">
    <w:name w:val="Header Char"/>
    <w:basedOn w:val="DefaultParagraphFont"/>
    <w:link w:val="Header"/>
    <w:semiHidden/>
    <w:rsid w:val="00F8236B"/>
    <w:rPr>
      <w:rFonts w:ascii="Times New Roman" w:hAnsi="Times New Roman" w:cs="Times New Roman"/>
      <w:sz w:val="20"/>
      <w:szCs w:val="20"/>
    </w:rPr>
  </w:style>
  <w:style w:type="paragraph" w:styleId="Header">
    <w:name w:val="header"/>
    <w:basedOn w:val="Normal"/>
    <w:link w:val="HeaderChar"/>
    <w:semiHidden/>
    <w:unhideWhenUsed/>
    <w:rsid w:val="00F8236B"/>
    <w:pPr>
      <w:tabs>
        <w:tab w:val="center" w:pos="4680"/>
        <w:tab w:val="right" w:pos="9360"/>
      </w:tabs>
      <w:spacing w:after="0" w:line="240" w:lineRule="auto"/>
      <w:jc w:val="center"/>
    </w:pPr>
    <w:rPr>
      <w:rFonts w:ascii="Times New Roman" w:hAnsi="Times New Roman" w:cs="Times New Roman"/>
      <w:sz w:val="20"/>
      <w:szCs w:val="20"/>
    </w:rPr>
  </w:style>
  <w:style w:type="character" w:customStyle="1" w:styleId="HeaderChar1">
    <w:name w:val="Header Char1"/>
    <w:basedOn w:val="DefaultParagraphFont"/>
    <w:uiPriority w:val="99"/>
    <w:semiHidden/>
    <w:rsid w:val="00F8236B"/>
    <w:rPr>
      <w:sz w:val="24"/>
    </w:rPr>
  </w:style>
  <w:style w:type="character" w:customStyle="1" w:styleId="FooterChar">
    <w:name w:val="Footer Char"/>
    <w:basedOn w:val="DefaultParagraphFont"/>
    <w:link w:val="Footer"/>
    <w:uiPriority w:val="99"/>
    <w:semiHidden/>
    <w:rsid w:val="00F8236B"/>
    <w:rPr>
      <w:rFonts w:ascii="Times New Roman" w:hAnsi="Times New Roman" w:cs="Times New Roman"/>
      <w:sz w:val="20"/>
      <w:szCs w:val="24"/>
    </w:rPr>
  </w:style>
  <w:style w:type="paragraph" w:styleId="Footer">
    <w:name w:val="footer"/>
    <w:basedOn w:val="Normal"/>
    <w:link w:val="FooterChar"/>
    <w:uiPriority w:val="99"/>
    <w:semiHidden/>
    <w:unhideWhenUsed/>
    <w:rsid w:val="00F8236B"/>
    <w:pPr>
      <w:tabs>
        <w:tab w:val="center" w:pos="4680"/>
        <w:tab w:val="right" w:pos="9360"/>
      </w:tabs>
      <w:spacing w:after="0" w:line="240" w:lineRule="auto"/>
    </w:pPr>
    <w:rPr>
      <w:rFonts w:ascii="Times New Roman" w:hAnsi="Times New Roman" w:cs="Times New Roman"/>
      <w:sz w:val="20"/>
      <w:szCs w:val="24"/>
    </w:rPr>
  </w:style>
  <w:style w:type="character" w:customStyle="1" w:styleId="FooterChar1">
    <w:name w:val="Footer Char1"/>
    <w:basedOn w:val="DefaultParagraphFont"/>
    <w:uiPriority w:val="99"/>
    <w:semiHidden/>
    <w:rsid w:val="00F8236B"/>
    <w:rPr>
      <w:sz w:val="24"/>
    </w:rPr>
  </w:style>
  <w:style w:type="paragraph" w:styleId="BalloonText">
    <w:name w:val="Balloon Text"/>
    <w:basedOn w:val="Normal"/>
    <w:link w:val="BalloonTextChar"/>
    <w:uiPriority w:val="99"/>
    <w:semiHidden/>
    <w:unhideWhenUsed/>
    <w:rsid w:val="00F823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36B"/>
    <w:rPr>
      <w:rFonts w:ascii="Segoe UI" w:hAnsi="Segoe UI" w:cs="Segoe UI"/>
      <w:sz w:val="18"/>
      <w:szCs w:val="18"/>
    </w:rPr>
  </w:style>
  <w:style w:type="paragraph" w:styleId="Quote">
    <w:name w:val="Quote"/>
    <w:basedOn w:val="Normal"/>
    <w:next w:val="Normal"/>
    <w:link w:val="QuoteChar"/>
    <w:uiPriority w:val="29"/>
    <w:qFormat/>
    <w:rsid w:val="00F8236B"/>
    <w:pPr>
      <w:spacing w:before="200" w:line="240" w:lineRule="auto"/>
      <w:ind w:left="864" w:right="864"/>
      <w:jc w:val="center"/>
    </w:pPr>
    <w:rPr>
      <w:rFonts w:ascii="Times New Roman" w:hAnsi="Times New Roman" w:cs="Times New Roman"/>
      <w:i/>
      <w:iCs/>
      <w:color w:val="404040" w:themeColor="text1" w:themeTint="BF"/>
      <w:szCs w:val="24"/>
    </w:rPr>
  </w:style>
  <w:style w:type="character" w:customStyle="1" w:styleId="QuoteChar">
    <w:name w:val="Quote Char"/>
    <w:basedOn w:val="DefaultParagraphFont"/>
    <w:link w:val="Quote"/>
    <w:uiPriority w:val="29"/>
    <w:rsid w:val="00F8236B"/>
    <w:rPr>
      <w:rFonts w:ascii="Times New Roman" w:hAnsi="Times New Roman" w:cs="Times New Roman"/>
      <w:i/>
      <w:iCs/>
      <w:color w:val="404040" w:themeColor="text1" w:themeTint="BF"/>
      <w:sz w:val="24"/>
      <w:szCs w:val="24"/>
    </w:rPr>
  </w:style>
  <w:style w:type="paragraph" w:customStyle="1" w:styleId="AnnexNotitle">
    <w:name w:val="Annex_No &amp; title"/>
    <w:basedOn w:val="Normal"/>
    <w:next w:val="Normal"/>
    <w:rsid w:val="00F8236B"/>
    <w:pPr>
      <w:keepNext/>
      <w:keepLines/>
      <w:tabs>
        <w:tab w:val="left" w:pos="794"/>
        <w:tab w:val="left" w:pos="1191"/>
        <w:tab w:val="left" w:pos="1588"/>
        <w:tab w:val="left" w:pos="1985"/>
      </w:tabs>
      <w:overflowPunct w:val="0"/>
      <w:autoSpaceDE w:val="0"/>
      <w:autoSpaceDN w:val="0"/>
      <w:adjustRightInd w:val="0"/>
      <w:spacing w:before="480" w:after="0" w:line="240" w:lineRule="auto"/>
      <w:jc w:val="center"/>
      <w:outlineLvl w:val="0"/>
    </w:pPr>
    <w:rPr>
      <w:rFonts w:ascii="Times New Roman" w:eastAsia="Times New Roman" w:hAnsi="Times New Roman" w:cs="Times New Roman"/>
      <w:b/>
      <w:sz w:val="28"/>
      <w:szCs w:val="20"/>
      <w:lang w:eastAsia="en-US"/>
    </w:rPr>
  </w:style>
  <w:style w:type="paragraph" w:customStyle="1" w:styleId="AppendixNotitle">
    <w:name w:val="Appendix_No &amp; title"/>
    <w:basedOn w:val="AnnexNotitle"/>
    <w:next w:val="Normal"/>
    <w:rsid w:val="00F8236B"/>
  </w:style>
  <w:style w:type="paragraph" w:customStyle="1" w:styleId="CorrectionSeparatorBegin">
    <w:name w:val="Correction Separator Begin"/>
    <w:basedOn w:val="Normal"/>
    <w:rsid w:val="00F8236B"/>
    <w:pPr>
      <w:keepNext/>
      <w:pBdr>
        <w:bottom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eastAsia="en-US"/>
    </w:rPr>
  </w:style>
  <w:style w:type="paragraph" w:customStyle="1" w:styleId="CorrectionSeparatorEnd">
    <w:name w:val="Correction Separator End"/>
    <w:basedOn w:val="Normal"/>
    <w:rsid w:val="00F8236B"/>
    <w:pPr>
      <w:pBdr>
        <w:top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eastAsia="en-US"/>
    </w:rPr>
  </w:style>
  <w:style w:type="paragraph" w:customStyle="1" w:styleId="Figure">
    <w:name w:val="Figure"/>
    <w:basedOn w:val="Normal"/>
    <w:next w:val="Normal"/>
    <w:rsid w:val="00F8236B"/>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pPr>
    <w:rPr>
      <w:rFonts w:ascii="Times New Roman" w:eastAsia="Times New Roman" w:hAnsi="Times New Roman" w:cs="Times New Roman"/>
      <w:szCs w:val="20"/>
      <w:lang w:eastAsia="en-US"/>
    </w:rPr>
  </w:style>
  <w:style w:type="paragraph" w:customStyle="1" w:styleId="FigureNotitle">
    <w:name w:val="Figure_No &amp; title"/>
    <w:basedOn w:val="Normal"/>
    <w:next w:val="Normal"/>
    <w:qFormat/>
    <w:rsid w:val="00F8236B"/>
    <w:pPr>
      <w:keepLines/>
      <w:tabs>
        <w:tab w:val="left" w:pos="794"/>
        <w:tab w:val="left" w:pos="1191"/>
        <w:tab w:val="left" w:pos="1588"/>
        <w:tab w:val="left" w:pos="1985"/>
      </w:tabs>
      <w:overflowPunct w:val="0"/>
      <w:autoSpaceDE w:val="0"/>
      <w:autoSpaceDN w:val="0"/>
      <w:adjustRightInd w:val="0"/>
      <w:spacing w:before="240" w:after="120" w:line="240" w:lineRule="auto"/>
      <w:jc w:val="center"/>
    </w:pPr>
    <w:rPr>
      <w:rFonts w:ascii="Times New Roman" w:hAnsi="Times New Roman" w:cs="Times New Roman"/>
      <w:b/>
      <w:szCs w:val="20"/>
    </w:rPr>
  </w:style>
  <w:style w:type="paragraph" w:customStyle="1" w:styleId="Formal">
    <w:name w:val="Formal"/>
    <w:basedOn w:val="Normal"/>
    <w:rsid w:val="00F8236B"/>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SimSun" w:hAnsi="Courier New" w:cs="Times New Roman"/>
      <w:noProof/>
      <w:sz w:val="20"/>
      <w:szCs w:val="20"/>
      <w:lang w:val="en-US" w:eastAsia="en-US"/>
    </w:rPr>
  </w:style>
  <w:style w:type="paragraph" w:customStyle="1" w:styleId="Headingb">
    <w:name w:val="Heading_b"/>
    <w:basedOn w:val="Normal"/>
    <w:next w:val="Normal"/>
    <w:link w:val="HeadingbChar"/>
    <w:qFormat/>
    <w:rsid w:val="00F8236B"/>
    <w:pPr>
      <w:keepNext/>
      <w:tabs>
        <w:tab w:val="left" w:pos="794"/>
        <w:tab w:val="left" w:pos="1191"/>
        <w:tab w:val="left" w:pos="1588"/>
        <w:tab w:val="left" w:pos="1985"/>
      </w:tabs>
      <w:overflowPunct w:val="0"/>
      <w:autoSpaceDE w:val="0"/>
      <w:autoSpaceDN w:val="0"/>
      <w:adjustRightInd w:val="0"/>
      <w:spacing w:before="160" w:after="0" w:line="240" w:lineRule="auto"/>
    </w:pPr>
    <w:rPr>
      <w:rFonts w:ascii="Times New Roman" w:eastAsia="Times New Roman" w:hAnsi="Times New Roman" w:cs="Times New Roman"/>
      <w:b/>
      <w:szCs w:val="20"/>
      <w:lang w:eastAsia="en-US"/>
    </w:rPr>
  </w:style>
  <w:style w:type="character" w:customStyle="1" w:styleId="HeadingbChar">
    <w:name w:val="Heading_b Char"/>
    <w:link w:val="Headingb"/>
    <w:locked/>
    <w:rsid w:val="00F8236B"/>
    <w:rPr>
      <w:rFonts w:ascii="Times New Roman" w:eastAsia="Times New Roman" w:hAnsi="Times New Roman" w:cs="Times New Roman"/>
      <w:b/>
      <w:sz w:val="24"/>
      <w:szCs w:val="20"/>
      <w:lang w:eastAsia="en-US"/>
    </w:rPr>
  </w:style>
  <w:style w:type="paragraph" w:customStyle="1" w:styleId="Headingi">
    <w:name w:val="Heading_i"/>
    <w:basedOn w:val="Normal"/>
    <w:next w:val="Normal"/>
    <w:rsid w:val="00F8236B"/>
    <w:pPr>
      <w:keepNext/>
      <w:tabs>
        <w:tab w:val="left" w:pos="794"/>
        <w:tab w:val="left" w:pos="1191"/>
        <w:tab w:val="left" w:pos="1588"/>
        <w:tab w:val="left" w:pos="1985"/>
      </w:tabs>
      <w:overflowPunct w:val="0"/>
      <w:autoSpaceDE w:val="0"/>
      <w:autoSpaceDN w:val="0"/>
      <w:adjustRightInd w:val="0"/>
      <w:spacing w:before="160" w:after="0" w:line="240" w:lineRule="auto"/>
    </w:pPr>
    <w:rPr>
      <w:rFonts w:ascii="Times New Roman" w:eastAsia="Times New Roman" w:hAnsi="Times New Roman" w:cs="Times New Roman"/>
      <w:i/>
      <w:szCs w:val="20"/>
      <w:lang w:eastAsia="en-US"/>
    </w:rPr>
  </w:style>
  <w:style w:type="paragraph" w:customStyle="1" w:styleId="Headingib">
    <w:name w:val="Heading_ib"/>
    <w:basedOn w:val="Headingi"/>
    <w:next w:val="Normal"/>
    <w:qFormat/>
    <w:rsid w:val="00F8236B"/>
    <w:rPr>
      <w:rFonts w:eastAsiaTheme="minorEastAsia"/>
      <w:b/>
      <w:bCs/>
      <w:lang w:eastAsia="ja-JP"/>
    </w:rPr>
  </w:style>
  <w:style w:type="paragraph" w:customStyle="1" w:styleId="Normalbeforetable">
    <w:name w:val="Normal before table"/>
    <w:basedOn w:val="Normal"/>
    <w:rsid w:val="00F8236B"/>
    <w:pPr>
      <w:keepNext/>
      <w:spacing w:before="120" w:after="120" w:line="240" w:lineRule="auto"/>
    </w:pPr>
    <w:rPr>
      <w:rFonts w:ascii="Times New Roman" w:eastAsia="????" w:hAnsi="Times New Roman" w:cs="Times New Roman"/>
      <w:szCs w:val="24"/>
      <w:lang w:eastAsia="en-US"/>
    </w:rPr>
  </w:style>
  <w:style w:type="paragraph" w:customStyle="1" w:styleId="RecNo">
    <w:name w:val="Rec_No"/>
    <w:basedOn w:val="Normal"/>
    <w:next w:val="Normal"/>
    <w:rsid w:val="00F8236B"/>
    <w:pPr>
      <w:keepNext/>
      <w:keepLines/>
      <w:tabs>
        <w:tab w:val="left" w:pos="794"/>
        <w:tab w:val="left" w:pos="1191"/>
        <w:tab w:val="left" w:pos="1588"/>
        <w:tab w:val="left" w:pos="1985"/>
      </w:tabs>
      <w:overflowPunct w:val="0"/>
      <w:autoSpaceDE w:val="0"/>
      <w:autoSpaceDN w:val="0"/>
      <w:adjustRightInd w:val="0"/>
      <w:spacing w:after="0" w:line="240" w:lineRule="auto"/>
    </w:pPr>
    <w:rPr>
      <w:rFonts w:ascii="Times New Roman" w:hAnsi="Times New Roman" w:cs="Times New Roman"/>
      <w:b/>
      <w:sz w:val="28"/>
      <w:szCs w:val="20"/>
    </w:rPr>
  </w:style>
  <w:style w:type="paragraph" w:customStyle="1" w:styleId="Rectitle">
    <w:name w:val="Rec_title"/>
    <w:basedOn w:val="Normal"/>
    <w:next w:val="Normal"/>
    <w:rsid w:val="00F8236B"/>
    <w:pPr>
      <w:keepNext/>
      <w:keepLines/>
      <w:tabs>
        <w:tab w:val="left" w:pos="794"/>
        <w:tab w:val="left" w:pos="1191"/>
        <w:tab w:val="left" w:pos="1588"/>
        <w:tab w:val="left" w:pos="1985"/>
      </w:tabs>
      <w:overflowPunct w:val="0"/>
      <w:autoSpaceDE w:val="0"/>
      <w:autoSpaceDN w:val="0"/>
      <w:adjustRightInd w:val="0"/>
      <w:spacing w:before="360" w:after="0" w:line="240" w:lineRule="auto"/>
      <w:jc w:val="center"/>
    </w:pPr>
    <w:rPr>
      <w:rFonts w:ascii="Times New Roman" w:hAnsi="Times New Roman" w:cs="Times New Roman"/>
      <w:b/>
      <w:sz w:val="28"/>
      <w:szCs w:val="20"/>
    </w:rPr>
  </w:style>
  <w:style w:type="paragraph" w:customStyle="1" w:styleId="Reftext">
    <w:name w:val="Ref_text"/>
    <w:basedOn w:val="Normal"/>
    <w:rsid w:val="00F8236B"/>
    <w:pPr>
      <w:overflowPunct w:val="0"/>
      <w:autoSpaceDE w:val="0"/>
      <w:autoSpaceDN w:val="0"/>
      <w:adjustRightInd w:val="0"/>
      <w:spacing w:before="120" w:after="0" w:line="240" w:lineRule="auto"/>
      <w:ind w:left="2268" w:hanging="2268"/>
    </w:pPr>
    <w:rPr>
      <w:rFonts w:ascii="Times New Roman" w:eastAsia="Times New Roman" w:hAnsi="Times New Roman" w:cs="Times New Roman"/>
      <w:szCs w:val="20"/>
      <w:lang w:eastAsia="en-US"/>
    </w:rPr>
  </w:style>
  <w:style w:type="paragraph" w:customStyle="1" w:styleId="Tablehead">
    <w:name w:val="Table_head"/>
    <w:basedOn w:val="Normal"/>
    <w:next w:val="Normal"/>
    <w:link w:val="TableheadChar"/>
    <w:rsid w:val="00F8236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pPr>
    <w:rPr>
      <w:rFonts w:ascii="Times New Roman" w:eastAsia="Times New Roman" w:hAnsi="Times New Roman" w:cs="Times New Roman"/>
      <w:b/>
      <w:sz w:val="22"/>
      <w:szCs w:val="20"/>
      <w:lang w:eastAsia="en-US"/>
    </w:rPr>
  </w:style>
  <w:style w:type="character" w:customStyle="1" w:styleId="TableheadChar">
    <w:name w:val="Table_head Char"/>
    <w:link w:val="Tablehead"/>
    <w:locked/>
    <w:rsid w:val="00F8236B"/>
    <w:rPr>
      <w:rFonts w:ascii="Times New Roman" w:eastAsia="Times New Roman" w:hAnsi="Times New Roman" w:cs="Times New Roman"/>
      <w:b/>
      <w:szCs w:val="20"/>
      <w:lang w:eastAsia="en-US"/>
    </w:rPr>
  </w:style>
  <w:style w:type="paragraph" w:customStyle="1" w:styleId="Tablelegend">
    <w:name w:val="Table_legend"/>
    <w:basedOn w:val="Normal"/>
    <w:rsid w:val="00F823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pPr>
    <w:rPr>
      <w:rFonts w:ascii="Times New Roman" w:eastAsia="Times New Roman" w:hAnsi="Times New Roman" w:cs="Times New Roman"/>
      <w:sz w:val="22"/>
      <w:szCs w:val="20"/>
      <w:lang w:eastAsia="en-US"/>
    </w:rPr>
  </w:style>
  <w:style w:type="paragraph" w:customStyle="1" w:styleId="TableNotitle">
    <w:name w:val="Table_No &amp; title"/>
    <w:basedOn w:val="Normal"/>
    <w:next w:val="Normal"/>
    <w:qFormat/>
    <w:rsid w:val="00F8236B"/>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pPr>
    <w:rPr>
      <w:rFonts w:ascii="Times New Roman" w:hAnsi="Times New Roman" w:cs="Times New Roman"/>
      <w:b/>
      <w:szCs w:val="20"/>
    </w:rPr>
  </w:style>
  <w:style w:type="paragraph" w:customStyle="1" w:styleId="Tabletext">
    <w:name w:val="Table_text"/>
    <w:basedOn w:val="Normal"/>
    <w:link w:val="TabletextChar"/>
    <w:qFormat/>
    <w:rsid w:val="00F823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 w:val="22"/>
      <w:szCs w:val="20"/>
      <w:lang w:eastAsia="en-US"/>
    </w:rPr>
  </w:style>
  <w:style w:type="character" w:customStyle="1" w:styleId="TabletextChar">
    <w:name w:val="Table_text Char"/>
    <w:link w:val="Tabletext"/>
    <w:qFormat/>
    <w:locked/>
    <w:rsid w:val="00F8236B"/>
    <w:rPr>
      <w:rFonts w:ascii="Times New Roman" w:eastAsia="Times New Roman" w:hAnsi="Times New Roman" w:cs="Times New Roman"/>
      <w:szCs w:val="20"/>
      <w:lang w:eastAsia="en-US"/>
    </w:rPr>
  </w:style>
  <w:style w:type="paragraph" w:customStyle="1" w:styleId="enumlev2">
    <w:name w:val="enumlev2"/>
    <w:basedOn w:val="enumlev1"/>
    <w:rsid w:val="00F8236B"/>
    <w:pPr>
      <w:ind w:left="1191" w:hanging="397"/>
    </w:pPr>
  </w:style>
  <w:style w:type="paragraph" w:customStyle="1" w:styleId="enumlev3">
    <w:name w:val="enumlev3"/>
    <w:basedOn w:val="enumlev2"/>
    <w:rsid w:val="00F8236B"/>
    <w:pPr>
      <w:ind w:left="1588"/>
    </w:pPr>
  </w:style>
  <w:style w:type="paragraph" w:customStyle="1" w:styleId="Note">
    <w:name w:val="Note"/>
    <w:basedOn w:val="Normal"/>
    <w:rsid w:val="00F8236B"/>
    <w:pPr>
      <w:tabs>
        <w:tab w:val="left" w:pos="794"/>
        <w:tab w:val="left" w:pos="1191"/>
        <w:tab w:val="left" w:pos="1588"/>
        <w:tab w:val="left" w:pos="1985"/>
      </w:tabs>
      <w:overflowPunct w:val="0"/>
      <w:autoSpaceDE w:val="0"/>
      <w:autoSpaceDN w:val="0"/>
      <w:adjustRightInd w:val="0"/>
      <w:spacing w:before="80" w:after="0" w:line="240" w:lineRule="auto"/>
    </w:pPr>
    <w:rPr>
      <w:rFonts w:ascii="Times New Roman" w:eastAsia="Times New Roman" w:hAnsi="Times New Roman" w:cs="Times New Roman"/>
      <w:szCs w:val="20"/>
      <w:lang w:eastAsia="en-US"/>
    </w:rPr>
  </w:style>
  <w:style w:type="paragraph" w:customStyle="1" w:styleId="Heading1Centered">
    <w:name w:val="Heading 1 Centered"/>
    <w:basedOn w:val="Heading1"/>
    <w:rsid w:val="00F8236B"/>
    <w:pPr>
      <w:tabs>
        <w:tab w:val="left" w:pos="794"/>
        <w:tab w:val="left" w:pos="1191"/>
        <w:tab w:val="left" w:pos="1588"/>
        <w:tab w:val="left" w:pos="1985"/>
      </w:tabs>
      <w:overflowPunct w:val="0"/>
      <w:autoSpaceDE w:val="0"/>
      <w:autoSpaceDN w:val="0"/>
      <w:adjustRightInd w:val="0"/>
      <w:spacing w:before="360" w:line="240" w:lineRule="auto"/>
      <w:jc w:val="center"/>
    </w:pPr>
    <w:rPr>
      <w:rFonts w:ascii="Times New Roman" w:eastAsiaTheme="minorHAnsi" w:hAnsi="Times New Roman" w:cs="Times New Roman"/>
      <w:b/>
      <w:bCs/>
      <w:color w:val="auto"/>
      <w:sz w:val="24"/>
      <w:szCs w:val="20"/>
      <w:lang w:eastAsia="en-US"/>
    </w:rPr>
  </w:style>
  <w:style w:type="paragraph" w:styleId="Caption">
    <w:name w:val="caption"/>
    <w:basedOn w:val="Normal"/>
    <w:next w:val="Normal"/>
    <w:uiPriority w:val="35"/>
    <w:semiHidden/>
    <w:unhideWhenUsed/>
    <w:qFormat/>
    <w:rsid w:val="00F8236B"/>
    <w:pPr>
      <w:spacing w:after="200" w:line="240" w:lineRule="auto"/>
    </w:pPr>
    <w:rPr>
      <w:rFonts w:ascii="Times New Roman" w:hAnsi="Times New Roman" w:cs="Times New Roman"/>
      <w:i/>
      <w:iCs/>
      <w:color w:val="44546A" w:themeColor="text2"/>
      <w:sz w:val="18"/>
      <w:szCs w:val="18"/>
    </w:rPr>
  </w:style>
  <w:style w:type="character" w:styleId="PlaceholderText">
    <w:name w:val="Placeholder Text"/>
    <w:basedOn w:val="DefaultParagraphFont"/>
    <w:uiPriority w:val="99"/>
    <w:semiHidden/>
    <w:rsid w:val="00F8236B"/>
  </w:style>
  <w:style w:type="character" w:styleId="FollowedHyperlink">
    <w:name w:val="FollowedHyperlink"/>
    <w:basedOn w:val="DefaultParagraphFont"/>
    <w:uiPriority w:val="99"/>
    <w:semiHidden/>
    <w:unhideWhenUsed/>
    <w:rsid w:val="00F8236B"/>
    <w:rPr>
      <w:color w:val="954F72" w:themeColor="followedHyperlink"/>
      <w:u w:val="single"/>
    </w:rPr>
  </w:style>
  <w:style w:type="character" w:customStyle="1" w:styleId="jlqj4b">
    <w:name w:val="jlqj4b"/>
    <w:basedOn w:val="DefaultParagraphFont"/>
    <w:rsid w:val="00F8236B"/>
  </w:style>
  <w:style w:type="character" w:customStyle="1" w:styleId="viiyi">
    <w:name w:val="viiyi"/>
    <w:basedOn w:val="DefaultParagraphFont"/>
    <w:rsid w:val="00F82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meetingdoc.asp?lang=en&amp;parent=T17-TSAG-C-0155" TargetMode="External"/><Relationship Id="rId21" Type="http://schemas.openxmlformats.org/officeDocument/2006/relationships/hyperlink" Target="https://www.itu.int/md/T17-TSAG-C-0129" TargetMode="External"/><Relationship Id="rId42" Type="http://schemas.openxmlformats.org/officeDocument/2006/relationships/hyperlink" Target="https://www.itu.int/md/T17-TSAG-C-0120" TargetMode="External"/><Relationship Id="rId63" Type="http://schemas.openxmlformats.org/officeDocument/2006/relationships/hyperlink" Target="https://www.itu.int/md/T17-TSAG-C-0125" TargetMode="External"/><Relationship Id="rId84" Type="http://schemas.openxmlformats.org/officeDocument/2006/relationships/hyperlink" Target="https://extranet.itu.int/meetings/ITU-T/T17-TSAGRGM/RGWP-200805/Contributions/T17-TSAGRGM-RGWP-200805-C-0002.docx" TargetMode="External"/><Relationship Id="rId138" Type="http://schemas.openxmlformats.org/officeDocument/2006/relationships/hyperlink" Target="https://www.itu.int/md/meetingdoc.asp?lang=en&amp;parent=T17-TSAG-C-0155" TargetMode="External"/><Relationship Id="rId159" Type="http://schemas.openxmlformats.org/officeDocument/2006/relationships/hyperlink" Target="https://extranet.itu.int/meetings/ITU-T/T17-TSAGRGM/RGWP-201208/Contributions/T17-TSAGRGM-RGWP-201208-C-0002.docx" TargetMode="External"/><Relationship Id="rId107" Type="http://schemas.openxmlformats.org/officeDocument/2006/relationships/hyperlink" Target="https://extranet.itu.int/meetings/ITU-T/T17-TSAGRGM/RGWP-201208/Contributions/T17-TSAGRGM-RGWP-201208-C-0001.docx" TargetMode="External"/><Relationship Id="rId11" Type="http://schemas.openxmlformats.org/officeDocument/2006/relationships/hyperlink" Target="https://www.itu.int/md/T17-TSAG-C-0119" TargetMode="External"/><Relationship Id="rId32" Type="http://schemas.openxmlformats.org/officeDocument/2006/relationships/hyperlink" Target="https://www.itu.int/md/T17-TSAG-C-0121" TargetMode="External"/><Relationship Id="rId53" Type="http://schemas.openxmlformats.org/officeDocument/2006/relationships/hyperlink" Target="https://www.itu.int/md/T17-TSAG-C-0119" TargetMode="External"/><Relationship Id="rId74" Type="http://schemas.openxmlformats.org/officeDocument/2006/relationships/hyperlink" Target="https://www.itu.int/md/T17-TSAG-C-0169/en" TargetMode="External"/><Relationship Id="rId128" Type="http://schemas.openxmlformats.org/officeDocument/2006/relationships/hyperlink" Target="https://extranet.itu.int/meetings/ITU-T/T17-TSAGRGM/RGWP-200805/Contributions/T17-TSAGRGM-RGWP-200805-C-0001.docx" TargetMode="External"/><Relationship Id="rId149" Type="http://schemas.openxmlformats.org/officeDocument/2006/relationships/hyperlink" Target="https://www.itu.int/md/T17-TSAG-200210-TD-GEN-0717" TargetMode="External"/><Relationship Id="rId5" Type="http://schemas.openxmlformats.org/officeDocument/2006/relationships/hyperlink" Target="https://www.itu.int/md/T13-TSAG-160201-TD-GEN-0457/en" TargetMode="External"/><Relationship Id="rId95" Type="http://schemas.openxmlformats.org/officeDocument/2006/relationships/hyperlink" Target="https://www.itu.int/md/T17-TSAG-C-0169/en" TargetMode="External"/><Relationship Id="rId160" Type="http://schemas.openxmlformats.org/officeDocument/2006/relationships/hyperlink" Target="https://extranet.itu.int/meetings/ITU-T/T17-TSAGRGM/RGWP-201208/Contributions/T17-TSAGRGM-RGWP-201208-C-0002.docx" TargetMode="External"/><Relationship Id="rId22" Type="http://schemas.openxmlformats.org/officeDocument/2006/relationships/hyperlink" Target="https://www.itu.int/md/T17-TSAG-C-0134" TargetMode="External"/><Relationship Id="rId43" Type="http://schemas.openxmlformats.org/officeDocument/2006/relationships/hyperlink" Target="https://www.itu.int/md/T17-TSAG-C-0134" TargetMode="External"/><Relationship Id="rId64" Type="http://schemas.openxmlformats.org/officeDocument/2006/relationships/hyperlink" Target="https://extranet.itu.int/meetings/ITU-T/T17-TSAGRGM/RGWP-200805/Contributions/T17-TSAGRGM-RGWP-200805-C-0005.docx" TargetMode="External"/><Relationship Id="rId118" Type="http://schemas.openxmlformats.org/officeDocument/2006/relationships/hyperlink" Target="https://extranet.itu.int/meetings/ITU-T/T17-TSAGRGM/RGWP-200805/Contributions/T17-TSAGRGM-RGWP-200805-C-0001.docx" TargetMode="External"/><Relationship Id="rId139" Type="http://schemas.openxmlformats.org/officeDocument/2006/relationships/hyperlink" Target="https://www.itu.int/md/T17-TSAG-C-0169/en" TargetMode="External"/><Relationship Id="rId85" Type="http://schemas.openxmlformats.org/officeDocument/2006/relationships/hyperlink" Target="https://extranet.itu.int/meetings/ITU-T/T17-TSAGRGM/RGWP-200805/Contributions/T17-TSAGRGM-RGWP-200805-C-0005.docx" TargetMode="External"/><Relationship Id="rId150" Type="http://schemas.openxmlformats.org/officeDocument/2006/relationships/hyperlink" Target="https://extranet.itu.int/meetings/ITU-T/T17-TSAGRGM/RGWP-201208/Contributions/T17-TSAGRGM-RGWP-201208-C-0001.docx" TargetMode="External"/><Relationship Id="rId12" Type="http://schemas.openxmlformats.org/officeDocument/2006/relationships/hyperlink" Target="https://www.itu.int/md/T17-TSAG-C-0120" TargetMode="External"/><Relationship Id="rId17" Type="http://schemas.openxmlformats.org/officeDocument/2006/relationships/hyperlink" Target="https://extranet.itu.int/meetings/ITU-T/T17-TSAGRGM/RGWP-200805/Contributions/T17-TSAGRGM-RGWP-200805-C-0004.docx" TargetMode="External"/><Relationship Id="rId33" Type="http://schemas.openxmlformats.org/officeDocument/2006/relationships/hyperlink" Target="https://www.itu.int/md/T17-TSAG-C-0129" TargetMode="External"/><Relationship Id="rId38" Type="http://schemas.openxmlformats.org/officeDocument/2006/relationships/hyperlink" Target="https://www.itu.int/md/T17-TSAG-C-0129" TargetMode="External"/><Relationship Id="rId59" Type="http://schemas.openxmlformats.org/officeDocument/2006/relationships/hyperlink" Target="https://extranet.itu.int/meetings/ITU-T/T17-TSAGRGM/RGWP-200805/Contributions/T17-TSAGRGM-RGWP-200805-C-0004.docx" TargetMode="External"/><Relationship Id="rId103" Type="http://schemas.openxmlformats.org/officeDocument/2006/relationships/hyperlink" Target="https://extranet.itu.int/meetings/ITU-T/T17-TSAGRGM/RGWP-201208/Contributions/T17-TSAGRGM-RGWP-201208-C-0002.docx" TargetMode="External"/><Relationship Id="rId108" Type="http://schemas.openxmlformats.org/officeDocument/2006/relationships/hyperlink" Target="https://extranet.itu.int/meetings/ITU-T/T17-TSAGRGM/RGWP-200805/Contributions/T17-TSAGRGM-RGWP-200805-C-0005.docx" TargetMode="External"/><Relationship Id="rId124" Type="http://schemas.openxmlformats.org/officeDocument/2006/relationships/hyperlink" Target="https://www.itu.int/md/T17-TSAG-C-0105" TargetMode="External"/><Relationship Id="rId129" Type="http://schemas.openxmlformats.org/officeDocument/2006/relationships/hyperlink" Target="https://www.itu.int/md/T17-TSAG-200210-TD-GEN-0717" TargetMode="External"/><Relationship Id="rId54" Type="http://schemas.openxmlformats.org/officeDocument/2006/relationships/hyperlink" Target="https://www.itu.int/md/T17-TSAG-C-0120" TargetMode="External"/><Relationship Id="rId70" Type="http://schemas.openxmlformats.org/officeDocument/2006/relationships/hyperlink" Target="https://extranet.itu.int/meetings/ITU-T/T17-TSAGRGM/RGWP-201208/Contributions/T17-TSAGRGM-RGWP-201208-C-0002.docx" TargetMode="External"/><Relationship Id="rId75" Type="http://schemas.openxmlformats.org/officeDocument/2006/relationships/hyperlink" Target="https://extranet.itu.int/meetings/ITU-T/T17-TSAGRGM/RGWP-201208/Contributions/T17-TSAGRGM-RGWP-201208-C-0001.docx" TargetMode="External"/><Relationship Id="rId91" Type="http://schemas.openxmlformats.org/officeDocument/2006/relationships/hyperlink" Target="https://extranet.itu.int/meetings/ITU-T/T17-TSAGRGM/RGWP-200805/Contributions/T17-TSAGRGM-RGWP-200805-C-0002.docx" TargetMode="External"/><Relationship Id="rId96" Type="http://schemas.openxmlformats.org/officeDocument/2006/relationships/hyperlink" Target="https://www.itu.int/md/T17-TSAG-200210-TD-GEN-0717" TargetMode="External"/><Relationship Id="rId140" Type="http://schemas.openxmlformats.org/officeDocument/2006/relationships/hyperlink" Target="https://www.itu.int/md/meetingdoc.asp?lang=en&amp;parent=T17-TSAG-C-0155" TargetMode="External"/><Relationship Id="rId145" Type="http://schemas.openxmlformats.org/officeDocument/2006/relationships/hyperlink" Target="https://extranet.itu.int/meetings/ITU-T/T17-TSAGRGM/RGWP-200805/Contributions/T17-TSAGRGM-RGWP-200805-C-0005.docx"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s://extranet.itu.int/meetings/ITU-T/T17-TSAGRGM/RGWP-200805/Contributions/T17-TSAGRGM-RGWP-200805-C-0004.docx" TargetMode="External"/><Relationship Id="rId28" Type="http://schemas.openxmlformats.org/officeDocument/2006/relationships/hyperlink" Target="https://extranet.itu.int/meetings/ITU-T/T17-TSAGRGM/RGWP-200805/Contributions/T17-TSAGRGM-RGWP-200805-C-0004.docx" TargetMode="External"/><Relationship Id="rId49" Type="http://schemas.openxmlformats.org/officeDocument/2006/relationships/hyperlink" Target="https://www.itu.int/md/T17-TSAG-200210-TD-GEN-0717" TargetMode="External"/><Relationship Id="rId114" Type="http://schemas.openxmlformats.org/officeDocument/2006/relationships/hyperlink" Target="https://extranet.itu.int/meetings/ITU-T/T17-TSAGRGM/RGWP-200805/Contributions/T17-TSAGRGM-RGWP-200805-C-0002.docx" TargetMode="External"/><Relationship Id="rId119" Type="http://schemas.openxmlformats.org/officeDocument/2006/relationships/hyperlink" Target="https://extranet.itu.int/meetings/ITU-T/T17-TSAGRGM/RGWP-200805/Contributions/T17-TSAGRGM-RGWP-200805-C-0002.docx" TargetMode="External"/><Relationship Id="rId44" Type="http://schemas.openxmlformats.org/officeDocument/2006/relationships/hyperlink" Target="https://extranet.itu.int/meetings/ITU-T/T17-TSAGRGM/RGWP-200805/Contributions/T17-TSAGRGM-RGWP-200805-C-0004.docx" TargetMode="External"/><Relationship Id="rId60" Type="http://schemas.openxmlformats.org/officeDocument/2006/relationships/hyperlink" Target="https://www.itu.int/md/meetingdoc.asp?lang=en&amp;parent=T17-TSAG-C-0155" TargetMode="External"/><Relationship Id="rId65" Type="http://schemas.openxmlformats.org/officeDocument/2006/relationships/hyperlink" Target="https://www.itu.int/md/T17-TSAG-C-0169/en" TargetMode="External"/><Relationship Id="rId81" Type="http://schemas.openxmlformats.org/officeDocument/2006/relationships/hyperlink" Target="https://www.itu.int/md/T17-TSAG-C-0169/en" TargetMode="External"/><Relationship Id="rId86" Type="http://schemas.openxmlformats.org/officeDocument/2006/relationships/hyperlink" Target="https://extranet.itu.int/meetings/ITU-T/T17-TSAGRGM/RGWP-201208/Contributions/T17-TSAGRGM-RGWP-201208-C-0002.docx" TargetMode="External"/><Relationship Id="rId130" Type="http://schemas.openxmlformats.org/officeDocument/2006/relationships/hyperlink" Target="https://www.itu.int/md/T17-TSAG-200210-TD-GEN-0717" TargetMode="External"/><Relationship Id="rId135" Type="http://schemas.openxmlformats.org/officeDocument/2006/relationships/hyperlink" Target="https://www.itu.int/md/T17-TSAG-C-0125" TargetMode="External"/><Relationship Id="rId151" Type="http://schemas.openxmlformats.org/officeDocument/2006/relationships/hyperlink" Target="https://extranet.itu.int/meetings/ITU-T/T17-TSAGRGM/RGWP-201208/Contributions/T17-TSAGRGM-RGWP-201208-C-0001.docx" TargetMode="External"/><Relationship Id="rId156" Type="http://schemas.openxmlformats.org/officeDocument/2006/relationships/hyperlink" Target="https://extranet.itu.int/meetings/ITU-T/T17-TSAGRGM/RGWP-200805/Contributions/T17-TSAGRGM-RGWP-200805-C-0002.docx" TargetMode="External"/><Relationship Id="rId13" Type="http://schemas.openxmlformats.org/officeDocument/2006/relationships/hyperlink" Target="https://www.itu.int/md/T17-TSAG-C-0120" TargetMode="External"/><Relationship Id="rId18" Type="http://schemas.openxmlformats.org/officeDocument/2006/relationships/hyperlink" Target="https://extranet.itu.int/meetings/ITU-T/T17-TSAGRGM/RGWP-201208/Contributions/T17-TSAGRGM-RGWP-201208-C-0002.docx" TargetMode="External"/><Relationship Id="rId39" Type="http://schemas.openxmlformats.org/officeDocument/2006/relationships/hyperlink" Target="https://www.itu.int/md/T17-TSAG-C-0134" TargetMode="External"/><Relationship Id="rId109" Type="http://schemas.openxmlformats.org/officeDocument/2006/relationships/hyperlink" Target="https://extranet.itu.int/meetings/ITU-T/T17-TSAGRGM/RGWP-201208/Contributions/T17-TSAGRGM-RGWP-201208-C-0002.docx" TargetMode="External"/><Relationship Id="rId34" Type="http://schemas.openxmlformats.org/officeDocument/2006/relationships/hyperlink" Target="https://extranet.itu.int/meetings/ITU-T/T17-TSAGRGM/RGWP-200805/Contributions/T17-TSAGRGM-RGWP-200805-C-0004.docx" TargetMode="External"/><Relationship Id="rId50" Type="http://schemas.openxmlformats.org/officeDocument/2006/relationships/hyperlink" Target="https://www.itu.int/md/T17-TSAG-200210-TD-GEN-0730" TargetMode="External"/><Relationship Id="rId55" Type="http://schemas.openxmlformats.org/officeDocument/2006/relationships/hyperlink" Target="https://www.itu.int/md/T17-TSAG-C-0121" TargetMode="External"/><Relationship Id="rId76" Type="http://schemas.openxmlformats.org/officeDocument/2006/relationships/hyperlink" Target="https://www.itu.int/md/T17-TSAG-200210-TD-GEN-0717" TargetMode="External"/><Relationship Id="rId97" Type="http://schemas.openxmlformats.org/officeDocument/2006/relationships/hyperlink" Target="https://extranet.itu.int/meetings/ITU-T/T17-TSAGRGM/RGWP-201208/Contributions/T17-TSAGRGM-RGWP-201208-C-0001.docx" TargetMode="External"/><Relationship Id="rId104" Type="http://schemas.openxmlformats.org/officeDocument/2006/relationships/hyperlink" Target="https://www.itu.int/md/T17-TSAG-C-0169/en" TargetMode="External"/><Relationship Id="rId120" Type="http://schemas.openxmlformats.org/officeDocument/2006/relationships/hyperlink" Target="https://extranet.itu.int/meetings/ITU-T/T17-TSAGRGM/RGWP-201208/Contributions/T17-TSAGRGM-RGWP-201208-C-0001.docx" TargetMode="External"/><Relationship Id="rId125" Type="http://schemas.openxmlformats.org/officeDocument/2006/relationships/hyperlink" Target="https://extranet.itu.int/meetings/ITU-T/T17-TSAGRGM/RGWP-200805/Contributions/T17-TSAGRGM-RGWP-200805-C-0005.docx" TargetMode="External"/><Relationship Id="rId141" Type="http://schemas.openxmlformats.org/officeDocument/2006/relationships/hyperlink" Target="https://www.itu.int/md/T17-TSAG-200210-TD-GEN-0717" TargetMode="External"/><Relationship Id="rId146" Type="http://schemas.openxmlformats.org/officeDocument/2006/relationships/hyperlink" Target="https://www.itu.int/md/T17-TSAG-C-0125" TargetMode="External"/><Relationship Id="rId7" Type="http://schemas.openxmlformats.org/officeDocument/2006/relationships/hyperlink" Target="https://extranet.itu.int/meetings/ITU-T/T17-TSAGRGM/RGWP-210622/Contributions/T17-TSAGRGM-RGWP-210622-C-0001.docx" TargetMode="External"/><Relationship Id="rId71" Type="http://schemas.openxmlformats.org/officeDocument/2006/relationships/hyperlink" Target="https://extranet.itu.int/meetings/ITU-T/T17-TSAGRGM/RGWP-200805/Contributions/T17-TSAGRGM-RGWP-200805-C-0002.docx" TargetMode="External"/><Relationship Id="rId92" Type="http://schemas.openxmlformats.org/officeDocument/2006/relationships/hyperlink" Target="https://www.itu.int/md/T17-TSAG-C-0125" TargetMode="External"/><Relationship Id="rId162" Type="http://schemas.openxmlformats.org/officeDocument/2006/relationships/glossaryDocument" Target="glossary/document.xml"/><Relationship Id="rId2" Type="http://schemas.openxmlformats.org/officeDocument/2006/relationships/styles" Target="styles.xml"/><Relationship Id="rId29" Type="http://schemas.openxmlformats.org/officeDocument/2006/relationships/hyperlink" Target="https://extranet.itu.int/meetings/ITU-T/T17-TSAGRGM/RGWP-201208/Contributions/T17-TSAGRGM-RGWP-201208-C-0002.docx" TargetMode="External"/><Relationship Id="rId24" Type="http://schemas.openxmlformats.org/officeDocument/2006/relationships/hyperlink" Target="https://extranet.itu.int/meetings/ITU-T/T17-TSAGRGM/RGWP-201208/Contributions/T17-TSAGRGM-RGWP-201208-C-0002.docx" TargetMode="External"/><Relationship Id="rId40" Type="http://schemas.openxmlformats.org/officeDocument/2006/relationships/hyperlink" Target="https://extranet.itu.int/meetings/ITU-T/T17-TSAGRGM/RGWP-200805/Contributions/T17-TSAGRGM-RGWP-200805-C-0004.docx" TargetMode="External"/><Relationship Id="rId45" Type="http://schemas.openxmlformats.org/officeDocument/2006/relationships/hyperlink" Target="https://extranet.itu.int/meetings/ITU-T/T17-TSAGRGM/RGWP-201208/Contributions/T17-TSAGRGM-RGWP-201208-C-0002.docx" TargetMode="External"/><Relationship Id="rId66" Type="http://schemas.openxmlformats.org/officeDocument/2006/relationships/hyperlink" Target="https://www.itu.int/md/T17-TSAG-200210-TD-GEN-0717" TargetMode="External"/><Relationship Id="rId87" Type="http://schemas.openxmlformats.org/officeDocument/2006/relationships/hyperlink" Target="https://www.itu.int/md/T17-TSAG-C-0169/en" TargetMode="External"/><Relationship Id="rId110" Type="http://schemas.openxmlformats.org/officeDocument/2006/relationships/hyperlink" Target="https://www.itu.int/md/T17-TSAG-C-0169/en" TargetMode="External"/><Relationship Id="rId115" Type="http://schemas.openxmlformats.org/officeDocument/2006/relationships/hyperlink" Target="https://www.itu.int/md/T17-TSAG-200210-TD-GEN-0717" TargetMode="External"/><Relationship Id="rId131" Type="http://schemas.openxmlformats.org/officeDocument/2006/relationships/hyperlink" Target="https://extranet.itu.int/meetings/ITU-T/T17-TSAGRGM/RGWP-201208/Contributions/T17-TSAGRGM-RGWP-201208-C-0001.docx" TargetMode="External"/><Relationship Id="rId136" Type="http://schemas.openxmlformats.org/officeDocument/2006/relationships/hyperlink" Target="https://extranet.itu.int/meetings/ITU-T/T17-TSAGRGM/RGWP-200805/Contributions/T17-TSAGRGM-RGWP-200805-C-0001.docx" TargetMode="External"/><Relationship Id="rId157" Type="http://schemas.openxmlformats.org/officeDocument/2006/relationships/hyperlink" Target="https://extranet.itu.int/meetings/ITU-T/T17-TSAGRGM/RGWP-200805/Contributions/T17-TSAGRGM-RGWP-200805-C-0002.docx" TargetMode="External"/><Relationship Id="rId61" Type="http://schemas.openxmlformats.org/officeDocument/2006/relationships/hyperlink" Target="https://extranet.itu.int/meetings/ITU-T/T17-TSAGRGM/RGWP-201208/Contributions/T17-TSAGRGM-RGWP-201208-C-0001.docx" TargetMode="External"/><Relationship Id="rId82" Type="http://schemas.openxmlformats.org/officeDocument/2006/relationships/hyperlink" Target="https://www.itu.int/md/T17-TSAG-200210-TD-GEN-0717" TargetMode="External"/><Relationship Id="rId152" Type="http://schemas.openxmlformats.org/officeDocument/2006/relationships/hyperlink" Target="https://extranet.itu.int/meetings/ITU-T/T17-TSAGRGM/RGWP-201208/Contributions/T17-TSAGRGM-RGWP-201208-C-0001.docx" TargetMode="External"/><Relationship Id="rId19" Type="http://schemas.openxmlformats.org/officeDocument/2006/relationships/hyperlink" Target="https://www.itu.int/md/T17-TSAG-C-0105" TargetMode="External"/><Relationship Id="rId14" Type="http://schemas.openxmlformats.org/officeDocument/2006/relationships/hyperlink" Target="https://www.itu.int/md/T17-TSAG-C-0125" TargetMode="External"/><Relationship Id="rId30" Type="http://schemas.openxmlformats.org/officeDocument/2006/relationships/hyperlink" Target="https://www.itu.int/md/T17-TSAG-C-0105" TargetMode="External"/><Relationship Id="rId35" Type="http://schemas.openxmlformats.org/officeDocument/2006/relationships/hyperlink" Target="https://extranet.itu.int/meetings/ITU-T/T17-TSAGRGM/RGWP-201208/Contributions/T17-TSAGRGM-RGWP-201208-C-0002.docx" TargetMode="External"/><Relationship Id="rId56" Type="http://schemas.openxmlformats.org/officeDocument/2006/relationships/hyperlink" Target="https://www.itu.int/md/T17-TSAG-C-0125" TargetMode="External"/><Relationship Id="rId77" Type="http://schemas.openxmlformats.org/officeDocument/2006/relationships/hyperlink" Target="https://extranet.itu.int/meetings/ITU-T/T17-TSAGRGM/RGWP-200805/Contributions/T17-TSAGRGM-RGWP-200805-C-0001.docx" TargetMode="External"/><Relationship Id="rId100" Type="http://schemas.openxmlformats.org/officeDocument/2006/relationships/hyperlink" Target="https://extranet.itu.int/meetings/ITU-T/T17-TSAGRGM/RGWP-200805/Contributions/T17-TSAGRGM-RGWP-200805-C-0002.docx" TargetMode="External"/><Relationship Id="rId105" Type="http://schemas.openxmlformats.org/officeDocument/2006/relationships/hyperlink" Target="https://www.itu.int/md/T17-TSAG-200210-TD-GEN-0717" TargetMode="External"/><Relationship Id="rId126" Type="http://schemas.openxmlformats.org/officeDocument/2006/relationships/hyperlink" Target="https://extranet.itu.int/meetings/ITU-T/T17-TSAGRGM/RGWP-201208/Contributions/T17-TSAGRGM-RGWP-201208-C-0002.docx" TargetMode="External"/><Relationship Id="rId147" Type="http://schemas.openxmlformats.org/officeDocument/2006/relationships/hyperlink" Target="https://extranet.itu.int/meetings/ITU-T/T17-TSAGRGM/RGWP-200805/Contributions/T17-TSAGRGM-RGWP-200805-C-0005.docx" TargetMode="External"/><Relationship Id="rId8" Type="http://schemas.openxmlformats.org/officeDocument/2006/relationships/image" Target="media/image2.png"/><Relationship Id="rId51" Type="http://schemas.openxmlformats.org/officeDocument/2006/relationships/hyperlink" Target="https://www.itu.int/md/T17-TSAG-C-0105" TargetMode="External"/><Relationship Id="rId72" Type="http://schemas.openxmlformats.org/officeDocument/2006/relationships/hyperlink" Target="https://extranet.itu.int/meetings/ITU-T/T17-TSAGRGM/RGWP-200805/Contributions/T17-TSAGRGM-RGWP-200805-C-0005.docx" TargetMode="External"/><Relationship Id="rId93" Type="http://schemas.openxmlformats.org/officeDocument/2006/relationships/hyperlink" Target="https://extranet.itu.int/meetings/ITU-T/T17-TSAGRGM/RGWP-200805/Contributions/T17-TSAGRGM-RGWP-200805-C-0005.docx" TargetMode="External"/><Relationship Id="rId98" Type="http://schemas.openxmlformats.org/officeDocument/2006/relationships/hyperlink" Target="https://extranet.itu.int/meetings/ITU-T/T17-TSAGRGM/RGWP-201208/Contributions/T17-TSAGRGM-RGWP-201208-C-0001.docx" TargetMode="External"/><Relationship Id="rId121" Type="http://schemas.openxmlformats.org/officeDocument/2006/relationships/hyperlink" Target="https://extranet.itu.int/meetings/ITU-T/T17-TSAGRGM/RGWP-200805/Contributions/T17-TSAGRGM-RGWP-200805-C-0005.docx" TargetMode="External"/><Relationship Id="rId142" Type="http://schemas.openxmlformats.org/officeDocument/2006/relationships/hyperlink" Target="https://extranet.itu.int/meetings/ITU-T/T17-TSAGRGM/RGWP-201208/Contributions/T17-TSAGRGM-RGWP-201208-C-0001.docx" TargetMode="External"/><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www.itu.int/md/T17-TSAG-C-0105" TargetMode="External"/><Relationship Id="rId46" Type="http://schemas.openxmlformats.org/officeDocument/2006/relationships/hyperlink" Target="https://extranet.itu.int/meetings/ITU-T/T17-TSAGRGM/RGWP-200805/Contributions/T17-TSAGRGM-RGWP-200805-C-0004.docx" TargetMode="External"/><Relationship Id="rId67" Type="http://schemas.openxmlformats.org/officeDocument/2006/relationships/hyperlink" Target="https://extranet.itu.int/meetings/ITU-T/T17-TSAGRGM/RGWP-201208/Contributions/T17-TSAGRGM-RGWP-201208-C-0001.docx" TargetMode="External"/><Relationship Id="rId116" Type="http://schemas.openxmlformats.org/officeDocument/2006/relationships/hyperlink" Target="https://www.itu.int/md/T17-TSAG-C-0125" TargetMode="External"/><Relationship Id="rId137" Type="http://schemas.openxmlformats.org/officeDocument/2006/relationships/hyperlink" Target="https://extranet.itu.int/meetings/ITU-T/T17-TSAGRGM/RGWP-200805/Contributions/T17-TSAGRGM-RGWP-200805-C-0005.docx" TargetMode="External"/><Relationship Id="rId158" Type="http://schemas.openxmlformats.org/officeDocument/2006/relationships/hyperlink" Target="https://extranet.itu.int/meetings/ITU-T/T17-TSAGRGM/RGWP-200805/Contributions/T17-TSAGRGM-RGWP-200805-C-0002.docx" TargetMode="External"/><Relationship Id="rId20" Type="http://schemas.openxmlformats.org/officeDocument/2006/relationships/hyperlink" Target="https://www.itu.int/md/T17-TSAG-C-0120" TargetMode="External"/><Relationship Id="rId41" Type="http://schemas.openxmlformats.org/officeDocument/2006/relationships/hyperlink" Target="https://extranet.itu.int/meetings/ITU-T/T17-TSAGRGM/RGWP-201208/Contributions/T17-TSAGRGM-RGWP-201208-C-0002.docx" TargetMode="External"/><Relationship Id="rId62" Type="http://schemas.openxmlformats.org/officeDocument/2006/relationships/hyperlink" Target="https://extranet.itu.int/meetings/ITU-T/T17-TSAGRGM/RGWP-201208/Contributions/T17-TSAGRGM-RGWP-201208-C-0002.docx" TargetMode="External"/><Relationship Id="rId83" Type="http://schemas.openxmlformats.org/officeDocument/2006/relationships/hyperlink" Target="https://extranet.itu.int/meetings/ITU-T/T17-TSAGRGM/RGWP-201208/Contributions/T17-TSAGRGM-RGWP-201208-C-0001.docx" TargetMode="External"/><Relationship Id="rId88" Type="http://schemas.openxmlformats.org/officeDocument/2006/relationships/hyperlink" Target="https://www.itu.int/md/T17-TSAG-200210-TD-GEN-0717" TargetMode="External"/><Relationship Id="rId111" Type="http://schemas.openxmlformats.org/officeDocument/2006/relationships/hyperlink" Target="https://www.itu.int/md/T17-TSAG-200210-TD-GEN-0717" TargetMode="External"/><Relationship Id="rId132" Type="http://schemas.openxmlformats.org/officeDocument/2006/relationships/hyperlink" Target="https://extranet.itu.int/meetings/ITU-T/T17-TSAGRGM/RGWP-201208/Contributions/T17-TSAGRGM-RGWP-201208-C-0001.docx" TargetMode="External"/><Relationship Id="rId153" Type="http://schemas.openxmlformats.org/officeDocument/2006/relationships/hyperlink" Target="https://extranet.itu.int/meetings/ITU-T/T17-TSAGRGM/RGWP-201208/Contributions/T17-TSAGRGM-RGWP-201208-C-0001.docx" TargetMode="External"/><Relationship Id="rId15" Type="http://schemas.openxmlformats.org/officeDocument/2006/relationships/hyperlink" Target="https://www.itu.int/md/T17-TSAG-C-0129" TargetMode="External"/><Relationship Id="rId36" Type="http://schemas.openxmlformats.org/officeDocument/2006/relationships/hyperlink" Target="https://www.itu.int/md/T17-TSAG-C-0105" TargetMode="External"/><Relationship Id="rId57" Type="http://schemas.openxmlformats.org/officeDocument/2006/relationships/hyperlink" Target="https://www.itu.int/md/T17-TSAG-C-0129" TargetMode="External"/><Relationship Id="rId106" Type="http://schemas.openxmlformats.org/officeDocument/2006/relationships/hyperlink" Target="https://extranet.itu.int/meetings/ITU-T/T17-TSAGRGM/RGWP-200805/Contributions/T17-TSAGRGM-RGWP-200805-C-0002.docx" TargetMode="External"/><Relationship Id="rId127" Type="http://schemas.openxmlformats.org/officeDocument/2006/relationships/hyperlink" Target="https://www.itu.int/md/T17-TSAG-C-0169/en" TargetMode="External"/><Relationship Id="rId10" Type="http://schemas.openxmlformats.org/officeDocument/2006/relationships/hyperlink" Target="https://www.itu.int/md/T17-TSAG-C-0110" TargetMode="External"/><Relationship Id="rId31" Type="http://schemas.openxmlformats.org/officeDocument/2006/relationships/hyperlink" Target="https://www.itu.int/md/T17-TSAG-C-0120" TargetMode="External"/><Relationship Id="rId52" Type="http://schemas.openxmlformats.org/officeDocument/2006/relationships/hyperlink" Target="https://www.itu.int/md/T17-TSAG-C-0110" TargetMode="External"/><Relationship Id="rId73" Type="http://schemas.openxmlformats.org/officeDocument/2006/relationships/hyperlink" Target="https://extranet.itu.int/meetings/ITU-T/T17-TSAGRGM/RGWP-201208/Contributions/T17-TSAGRGM-RGWP-201208-C-0002.docx" TargetMode="External"/><Relationship Id="rId78" Type="http://schemas.openxmlformats.org/officeDocument/2006/relationships/hyperlink" Target="https://extranet.itu.int/meetings/ITU-T/T17-TSAGRGM/RGWP-200805/Contributions/T17-TSAGRGM-RGWP-200805-C-0001.docx" TargetMode="External"/><Relationship Id="rId94" Type="http://schemas.openxmlformats.org/officeDocument/2006/relationships/hyperlink" Target="https://extranet.itu.int/meetings/ITU-T/T17-TSAGRGM/RGWP-201208/Contributions/T17-TSAGRGM-RGWP-201208-C-0002.docx" TargetMode="External"/><Relationship Id="rId99" Type="http://schemas.openxmlformats.org/officeDocument/2006/relationships/hyperlink" Target="https://extranet.itu.int/meetings/ITU-T/T17-TSAGRGM/RGWP-200805/Contributions/T17-TSAGRGM-RGWP-200805-C-0002.docx" TargetMode="External"/><Relationship Id="rId101" Type="http://schemas.openxmlformats.org/officeDocument/2006/relationships/hyperlink" Target="https://extranet.itu.int/meetings/ITU-T/T17-TSAGRGM/RGWP-200805/Contributions/T17-TSAGRGM-RGWP-200805-C-0001.docx" TargetMode="External"/><Relationship Id="rId122" Type="http://schemas.openxmlformats.org/officeDocument/2006/relationships/hyperlink" Target="https://extranet.itu.int/meetings/ITU-T/T17-TSAGRGM/RGWP-201208/Contributions/T17-TSAGRGM-RGWP-201208-C-0002.docx" TargetMode="External"/><Relationship Id="rId143" Type="http://schemas.openxmlformats.org/officeDocument/2006/relationships/hyperlink" Target="https://extranet.itu.int/meetings/ITU-T/T17-TSAGRGM/RGWP-200805/Contributions/T17-TSAGRGM-RGWP-200805-C-0002.docx" TargetMode="External"/><Relationship Id="rId148" Type="http://schemas.openxmlformats.org/officeDocument/2006/relationships/hyperlink" Target="https://www.itu.int/md/T17-TSAG-C-0169/en" TargetMode="External"/><Relationship Id="rId4" Type="http://schemas.openxmlformats.org/officeDocument/2006/relationships/webSettings" Target="webSettings.xml"/><Relationship Id="rId9" Type="http://schemas.openxmlformats.org/officeDocument/2006/relationships/hyperlink" Target="https://www.itu.int/md/T17-TSAG-C-0105" TargetMode="External"/><Relationship Id="rId26" Type="http://schemas.openxmlformats.org/officeDocument/2006/relationships/hyperlink" Target="https://www.itu.int/md/T17-TSAG-C-0120" TargetMode="External"/><Relationship Id="rId47" Type="http://schemas.openxmlformats.org/officeDocument/2006/relationships/hyperlink" Target="https://extranet.itu.int/meetings/ITU-T/T17-TSAGRGM/RGWP-201208/Contributions/T17-TSAGRGM-RGWP-201208-C-0002.docx" TargetMode="External"/><Relationship Id="rId68" Type="http://schemas.openxmlformats.org/officeDocument/2006/relationships/hyperlink" Target="https://extranet.itu.int/meetings/ITU-T/T17-TSAGRGM/RGWP-200805/Contributions/T17-TSAGRGM-RGWP-200805-C-0001.docx" TargetMode="External"/><Relationship Id="rId89" Type="http://schemas.openxmlformats.org/officeDocument/2006/relationships/hyperlink" Target="https://extranet.itu.int/meetings/ITU-T/T17-TSAGRGM/RGWP-201208/Contributions/T17-TSAGRGM-RGWP-201208-C-0001.docx" TargetMode="External"/><Relationship Id="rId112" Type="http://schemas.openxmlformats.org/officeDocument/2006/relationships/hyperlink" Target="https://extranet.itu.int/meetings/ITU-T/T17-TSAGRGM/RGWP-201208/Contributions/T17-TSAGRGM-RGWP-201208-C-0001.docx" TargetMode="External"/><Relationship Id="rId133" Type="http://schemas.openxmlformats.org/officeDocument/2006/relationships/hyperlink" Target="https://extranet.itu.int/meetings/ITU-T/T17-TSAGRGM/RGWP-200805/Contributions/T17-TSAGRGM-RGWP-200805-C-0002.docx" TargetMode="External"/><Relationship Id="rId154" Type="http://schemas.openxmlformats.org/officeDocument/2006/relationships/hyperlink" Target="https://extranet.itu.int/meetings/ITU-T/T17-TSAGRGM/RGWP-200805/Contributions/T17-TSAGRGM-RGWP-200805-C-0002.docx" TargetMode="External"/><Relationship Id="rId16" Type="http://schemas.openxmlformats.org/officeDocument/2006/relationships/hyperlink" Target="https://www.itu.int/md/T17-TSAG-C-0134" TargetMode="External"/><Relationship Id="rId37" Type="http://schemas.openxmlformats.org/officeDocument/2006/relationships/hyperlink" Target="https://www.itu.int/md/T17-TSAG-C-0120" TargetMode="External"/><Relationship Id="rId58" Type="http://schemas.openxmlformats.org/officeDocument/2006/relationships/hyperlink" Target="https://www.itu.int/md/T17-TSAG-C-0134" TargetMode="External"/><Relationship Id="rId79" Type="http://schemas.openxmlformats.org/officeDocument/2006/relationships/hyperlink" Target="https://extranet.itu.int/meetings/ITU-T/T17-TSAGRGM/RGWP-200805/Contributions/T17-TSAGRGM-RGWP-200805-C-0005.docx" TargetMode="External"/><Relationship Id="rId102" Type="http://schemas.openxmlformats.org/officeDocument/2006/relationships/hyperlink" Target="https://extranet.itu.int/meetings/ITU-T/T17-TSAGRGM/RGWP-200805/Contributions/T17-TSAGRGM-RGWP-200805-C-0005.docx" TargetMode="External"/><Relationship Id="rId123" Type="http://schemas.openxmlformats.org/officeDocument/2006/relationships/hyperlink" Target="https://www.itu.int/md/T17-TSAG-C-0169/en" TargetMode="External"/><Relationship Id="rId144" Type="http://schemas.openxmlformats.org/officeDocument/2006/relationships/hyperlink" Target="https://extranet.itu.int/meetings/ITU-T/T17-TSAGRGM/RGWP-201208/Contributions/T17-TSAGRGM-RGWP-201208-C-0002.docx" TargetMode="External"/><Relationship Id="rId90" Type="http://schemas.openxmlformats.org/officeDocument/2006/relationships/hyperlink" Target="https://extranet.itu.int/meetings/ITU-T/T17-TSAGRGM/RGWP-200805/Contributions/T17-TSAGRGM-RGWP-200805-C-0001.docx" TargetMode="External"/><Relationship Id="rId27" Type="http://schemas.openxmlformats.org/officeDocument/2006/relationships/hyperlink" Target="https://extranet.itu.int/meetings/ITU-T/T17-TSAGRGM/RGWP-200805/Contributions/T17-TSAGRGM-RGWP-200805-C-0003-R01.docx" TargetMode="External"/><Relationship Id="rId48" Type="http://schemas.openxmlformats.org/officeDocument/2006/relationships/hyperlink" Target="https://itu.int/md/T13-TSAG-R-0007/en" TargetMode="External"/><Relationship Id="rId69" Type="http://schemas.openxmlformats.org/officeDocument/2006/relationships/hyperlink" Target="https://extranet.itu.int/meetings/ITU-T/T17-TSAGRGM/RGWP-200805/Contributions/T17-TSAGRGM-RGWP-200805-C-0002.docx" TargetMode="External"/><Relationship Id="rId113" Type="http://schemas.openxmlformats.org/officeDocument/2006/relationships/hyperlink" Target="https://extranet.itu.int/meetings/ITU-T/T17-TSAGRGM/RGWP-200805/Contributions/T17-TSAGRGM-RGWP-200805-C-0002.docx" TargetMode="External"/><Relationship Id="rId134" Type="http://schemas.openxmlformats.org/officeDocument/2006/relationships/hyperlink" Target="https://extranet.itu.int/meetings/ITU-T/T17-TSAGRGM/RGWP-200805/Contributions/T17-TSAGRGM-RGWP-200805-C-0002.docx" TargetMode="External"/><Relationship Id="rId80" Type="http://schemas.openxmlformats.org/officeDocument/2006/relationships/hyperlink" Target="https://extranet.itu.int/meetings/ITU-T/T17-TSAGRGM/RGWP-201208/Contributions/T17-TSAGRGM-RGWP-201208-C-0002.docx" TargetMode="External"/><Relationship Id="rId155" Type="http://schemas.openxmlformats.org/officeDocument/2006/relationships/hyperlink" Target="https://extranet.itu.int/meetings/ITU-T/T17-TSAGRGM/RGWP-200805/Contributions/T17-TSAGRGM-RGWP-200805-C-0002.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97C74BC5924192827E23A9AA32A425"/>
        <w:category>
          <w:name w:val="General"/>
          <w:gallery w:val="placeholder"/>
        </w:category>
        <w:types>
          <w:type w:val="bbPlcHdr"/>
        </w:types>
        <w:behaviors>
          <w:behavior w:val="content"/>
        </w:behaviors>
        <w:guid w:val="{F8586372-14D4-4182-865C-470A42AD5506}"/>
      </w:docPartPr>
      <w:docPartBody>
        <w:p w:rsidR="004D4AEA" w:rsidRDefault="00AE7A46" w:rsidP="00AE7A46">
          <w:pPr>
            <w:pStyle w:val="3D97C74BC5924192827E23A9AA32A425"/>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A46"/>
    <w:rsid w:val="0036124B"/>
    <w:rsid w:val="004D4AEA"/>
    <w:rsid w:val="00AE7A46"/>
    <w:rsid w:val="00DA23DB"/>
    <w:rsid w:val="00F406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7A46"/>
    <w:rPr>
      <w:rFonts w:ascii="Times New Roman" w:hAnsi="Times New Roman"/>
      <w:color w:val="808080"/>
    </w:rPr>
  </w:style>
  <w:style w:type="paragraph" w:customStyle="1" w:styleId="3D97C74BC5924192827E23A9AA32A425">
    <w:name w:val="3D97C74BC5924192827E23A9AA32A425"/>
    <w:rsid w:val="00AE7A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13653</Words>
  <Characters>77828</Characters>
  <Application>Microsoft Office Word</Application>
  <DocSecurity>0</DocSecurity>
  <Lines>648</Lines>
  <Paragraphs>182</Paragraphs>
  <ScaleCrop>false</ScaleCrop>
  <Company/>
  <LinksUpToDate>false</LinksUpToDate>
  <CharactersWithSpaces>91299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OTA, Hiroshi </cp:lastModifiedBy>
  <cp:revision>2</cp:revision>
  <dcterms:created xsi:type="dcterms:W3CDTF">2021-09-13T09:52:00Z</dcterms:created>
  <dcterms:modified xsi:type="dcterms:W3CDTF">2021-09-13T10:53:00Z</dcterms:modified>
</cp:coreProperties>
</file>